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7" w:line="240" w:lineRule="auto"/>
        <w:jc w:val="center"/>
        <w:textAlignment w:val="baseline"/>
        <w:rPr>
          <w:rFonts w:hint="default" w:ascii="宋体" w:hAnsi="宋体" w:eastAsia="宋体" w:cs="宋体"/>
          <w:b/>
          <w:spacing w:val="10"/>
          <w:position w:val="2"/>
          <w:sz w:val="32"/>
          <w:szCs w:val="20"/>
          <w:lang w:val="en-US" w:eastAsia="zh-CN"/>
        </w:rPr>
      </w:pPr>
      <w:r>
        <w:rPr>
          <w:rFonts w:hint="eastAsia" w:ascii="宋体" w:hAnsi="宋体" w:eastAsia="宋体" w:cs="宋体"/>
          <w:b/>
          <w:spacing w:val="10"/>
          <w:position w:val="2"/>
          <w:sz w:val="32"/>
          <w:szCs w:val="20"/>
          <w:lang w:val="en-US" w:eastAsia="zh-CN"/>
        </w:rPr>
        <w:t>拟成交单位信息</w:t>
      </w:r>
    </w:p>
    <w:p>
      <w:pPr>
        <w:widowControl w:val="0"/>
        <w:jc w:val="both"/>
        <w:rPr>
          <w:rFonts w:ascii="宋体" w:hAnsi="宋体" w:eastAsia="宋体" w:cs="宋体"/>
          <w:b/>
          <w:sz w:val="32"/>
          <w:szCs w:val="20"/>
        </w:rPr>
      </w:pPr>
    </w:p>
    <w:tbl>
      <w:tblPr>
        <w:tblStyle w:val="5"/>
        <w:tblW w:w="8777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2863"/>
        <w:gridCol w:w="2903"/>
        <w:gridCol w:w="1404"/>
        <w:gridCol w:w="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71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lang w:val="en-US" w:eastAsia="zh-CN"/>
              </w:rPr>
              <w:t>包号</w:t>
            </w:r>
            <w:r>
              <w:rPr>
                <w:rFonts w:ascii="宋体" w:hAnsi="宋体" w:eastAsia="宋体" w:cs="宋体"/>
                <w:b w:val="0"/>
                <w:bCs/>
                <w:sz w:val="28"/>
                <w:szCs w:val="18"/>
              </w:rPr>
              <w:br w:type="page"/>
            </w:r>
          </w:p>
        </w:tc>
        <w:tc>
          <w:tcPr>
            <w:tcW w:w="2863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拟成交单位名称</w:t>
            </w:r>
          </w:p>
        </w:tc>
        <w:tc>
          <w:tcPr>
            <w:tcW w:w="2903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地址</w:t>
            </w:r>
          </w:p>
        </w:tc>
        <w:tc>
          <w:tcPr>
            <w:tcW w:w="1404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预算金额</w:t>
            </w:r>
          </w:p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836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71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863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同方知网（北京）技术有限公司</w:t>
            </w:r>
          </w:p>
        </w:tc>
        <w:tc>
          <w:tcPr>
            <w:tcW w:w="2903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  <w:t>北京市海淀区西小口路66号东升科技园北领地A区第2号楼</w:t>
            </w:r>
          </w:p>
        </w:tc>
        <w:tc>
          <w:tcPr>
            <w:tcW w:w="1404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32</w:t>
            </w:r>
          </w:p>
        </w:tc>
        <w:tc>
          <w:tcPr>
            <w:tcW w:w="836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71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863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重庆昆廷科技有限公司</w:t>
            </w:r>
          </w:p>
        </w:tc>
        <w:tc>
          <w:tcPr>
            <w:tcW w:w="2903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  <w:t>重庆市南岸区亚太路9号6幢11-12、11-13号</w:t>
            </w:r>
          </w:p>
        </w:tc>
        <w:tc>
          <w:tcPr>
            <w:tcW w:w="1404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10.5</w:t>
            </w:r>
          </w:p>
        </w:tc>
        <w:tc>
          <w:tcPr>
            <w:tcW w:w="836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right"/>
        </w:trPr>
        <w:tc>
          <w:tcPr>
            <w:tcW w:w="771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863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河南华宽能航信息科技有限公司</w:t>
            </w:r>
          </w:p>
        </w:tc>
        <w:tc>
          <w:tcPr>
            <w:tcW w:w="2903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  <w:t>河南省郑州市高新技术产业开发区科学大道89号4号楼A单元10层85室</w:t>
            </w:r>
          </w:p>
        </w:tc>
        <w:tc>
          <w:tcPr>
            <w:tcW w:w="1404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836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71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2863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北京万方数据股份有限公司</w:t>
            </w:r>
          </w:p>
        </w:tc>
        <w:tc>
          <w:tcPr>
            <w:tcW w:w="2903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  <w:t>北京市海淀区复兴路15号</w:t>
            </w:r>
          </w:p>
        </w:tc>
        <w:tc>
          <w:tcPr>
            <w:tcW w:w="1404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21</w:t>
            </w:r>
          </w:p>
        </w:tc>
        <w:tc>
          <w:tcPr>
            <w:tcW w:w="836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/>
                <w:sz w:val="28"/>
                <w:szCs w:val="18"/>
                <w:vertAlign w:val="baseline"/>
              </w:rPr>
            </w:pPr>
          </w:p>
        </w:tc>
      </w:tr>
    </w:tbl>
    <w:p>
      <w:pPr>
        <w:rPr>
          <w:rFonts w:ascii="宋体" w:hAnsi="宋体" w:eastAsia="宋体" w:cs="宋体"/>
          <w:b/>
          <w:sz w:val="32"/>
          <w:szCs w:val="20"/>
        </w:rPr>
      </w:pPr>
    </w:p>
    <w:p>
      <w:pPr>
        <w:rPr>
          <w:rFonts w:hint="default" w:ascii="宋体" w:hAnsi="宋体" w:eastAsia="宋体" w:cs="宋体"/>
          <w:b/>
          <w:sz w:val="32"/>
          <w:szCs w:val="20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20"/>
          <w:lang w:val="en-US" w:eastAsia="zh-CN"/>
        </w:rPr>
        <w:t>注：后附技术参数</w:t>
      </w:r>
    </w:p>
    <w:p>
      <w:pPr>
        <w:rPr>
          <w:rFonts w:ascii="宋体" w:hAnsi="宋体" w:eastAsia="宋体" w:cs="宋体"/>
          <w:b/>
          <w:sz w:val="32"/>
          <w:szCs w:val="20"/>
        </w:rPr>
      </w:pPr>
      <w:r>
        <w:rPr>
          <w:rFonts w:ascii="宋体" w:hAnsi="宋体" w:eastAsia="宋体" w:cs="宋体"/>
          <w:b/>
          <w:sz w:val="32"/>
          <w:szCs w:val="20"/>
        </w:rPr>
        <w:br w:type="page"/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7" w:line="240" w:lineRule="auto"/>
        <w:jc w:val="center"/>
        <w:textAlignment w:val="baseline"/>
        <w:rPr>
          <w:rFonts w:ascii="宋体" w:hAnsi="宋体" w:eastAsia="宋体" w:cs="宋体"/>
          <w:b/>
          <w:spacing w:val="10"/>
          <w:position w:val="2"/>
          <w:sz w:val="32"/>
          <w:szCs w:val="20"/>
        </w:rPr>
      </w:pPr>
      <w:r>
        <w:rPr>
          <w:rFonts w:ascii="宋体" w:hAnsi="宋体" w:eastAsia="宋体" w:cs="宋体"/>
          <w:b/>
          <w:sz w:val="32"/>
          <w:szCs w:val="20"/>
        </w:rPr>
        <w:t>CNKI</w:t>
      </w:r>
      <w:r>
        <w:rPr>
          <w:rFonts w:hint="eastAsia" w:ascii="宋体" w:hAnsi="宋体" w:eastAsia="宋体" w:cs="宋体"/>
          <w:b/>
          <w:sz w:val="32"/>
          <w:szCs w:val="20"/>
        </w:rPr>
        <w:t>中国知网</w:t>
      </w:r>
      <w:r>
        <w:rPr>
          <w:rFonts w:ascii="宋体" w:hAnsi="宋体" w:eastAsia="宋体" w:cs="宋体"/>
          <w:b/>
          <w:spacing w:val="14"/>
          <w:sz w:val="32"/>
          <w:szCs w:val="20"/>
        </w:rPr>
        <w:t>数据</w:t>
      </w:r>
      <w:r>
        <w:rPr>
          <w:rFonts w:ascii="宋体" w:hAnsi="宋体" w:eastAsia="宋体" w:cs="宋体"/>
          <w:b/>
          <w:spacing w:val="8"/>
          <w:sz w:val="32"/>
          <w:szCs w:val="20"/>
        </w:rPr>
        <w:t>库</w:t>
      </w:r>
      <w:r>
        <w:rPr>
          <w:rFonts w:hint="eastAsia" w:ascii="宋体" w:hAnsi="宋体" w:eastAsia="宋体" w:cs="宋体"/>
          <w:b/>
          <w:spacing w:val="10"/>
          <w:position w:val="2"/>
          <w:sz w:val="32"/>
          <w:szCs w:val="20"/>
        </w:rPr>
        <w:t>技术参数</w:t>
      </w:r>
    </w:p>
    <w:p>
      <w:pPr>
        <w:spacing w:before="187" w:line="343" w:lineRule="exact"/>
        <w:jc w:val="center"/>
        <w:rPr>
          <w:rFonts w:ascii="宋体" w:hAnsi="宋体" w:eastAsia="宋体" w:cs="宋体"/>
          <w:b/>
          <w:spacing w:val="10"/>
          <w:position w:val="2"/>
          <w:sz w:val="32"/>
          <w:szCs w:val="20"/>
        </w:rPr>
      </w:pPr>
    </w:p>
    <w:p>
      <w:pPr>
        <w:spacing w:line="360" w:lineRule="auto"/>
        <w:jc w:val="both"/>
        <w:rPr>
          <w:rFonts w:ascii="宋体" w:hAnsi="宋体" w:eastAsia="宋体" w:cs="宋体"/>
          <w:b/>
          <w:sz w:val="21"/>
          <w:szCs w:val="21"/>
        </w:rPr>
      </w:pPr>
      <w:r>
        <w:rPr>
          <w:rFonts w:ascii="宋体" w:hAnsi="宋体" w:eastAsia="宋体" w:cs="宋体"/>
          <w:b/>
          <w:spacing w:val="10"/>
          <w:position w:val="2"/>
          <w:sz w:val="21"/>
          <w:szCs w:val="21"/>
        </w:rPr>
        <w:t>一</w:t>
      </w:r>
      <w:r>
        <w:rPr>
          <w:rFonts w:ascii="宋体" w:hAnsi="宋体" w:eastAsia="宋体" w:cs="宋体"/>
          <w:b/>
          <w:spacing w:val="8"/>
          <w:position w:val="2"/>
          <w:sz w:val="21"/>
          <w:szCs w:val="21"/>
        </w:rPr>
        <w:t>、采购资源范围</w:t>
      </w:r>
    </w:p>
    <w:p>
      <w:pPr>
        <w:spacing w:line="360" w:lineRule="auto"/>
        <w:ind w:firstLine="420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z w:val="21"/>
          <w:szCs w:val="21"/>
        </w:rPr>
        <w:t>CNKI</w:t>
      </w:r>
      <w:r>
        <w:rPr>
          <w:rFonts w:ascii="宋体" w:hAnsi="宋体" w:eastAsia="宋体" w:cs="宋体"/>
          <w:spacing w:val="14"/>
          <w:sz w:val="21"/>
          <w:szCs w:val="21"/>
        </w:rPr>
        <w:t xml:space="preserve"> 数据</w:t>
      </w:r>
      <w:r>
        <w:rPr>
          <w:rFonts w:ascii="宋体" w:hAnsi="宋体" w:eastAsia="宋体" w:cs="宋体"/>
          <w:spacing w:val="8"/>
          <w:sz w:val="21"/>
          <w:szCs w:val="21"/>
        </w:rPr>
        <w:t>库</w:t>
      </w:r>
      <w:r>
        <w:rPr>
          <w:rFonts w:ascii="宋体" w:hAnsi="宋体" w:eastAsia="宋体" w:cs="宋体"/>
          <w:spacing w:val="7"/>
          <w:sz w:val="21"/>
          <w:szCs w:val="21"/>
        </w:rPr>
        <w:t>期刊、博硕士论文、会议论文、报纸等五个数据库，覆盖</w:t>
      </w:r>
      <w:r>
        <w:rPr>
          <w:rFonts w:ascii="宋体" w:hAnsi="宋体" w:eastAsia="宋体" w:cs="宋体"/>
          <w:sz w:val="21"/>
          <w:szCs w:val="21"/>
        </w:rPr>
        <w:t>B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ascii="宋体" w:hAnsi="宋体" w:eastAsia="宋体" w:cs="宋体"/>
          <w:sz w:val="21"/>
          <w:szCs w:val="21"/>
        </w:rPr>
        <w:t>F</w:t>
      </w:r>
      <w:r>
        <w:rPr>
          <w:rFonts w:ascii="宋体" w:hAnsi="宋体" w:eastAsia="宋体" w:cs="宋体"/>
          <w:spacing w:val="7"/>
          <w:sz w:val="21"/>
          <w:szCs w:val="21"/>
        </w:rPr>
        <w:t>、</w:t>
      </w:r>
      <w:r>
        <w:rPr>
          <w:rFonts w:ascii="宋体" w:hAnsi="宋体" w:eastAsia="宋体" w:cs="宋体"/>
          <w:sz w:val="21"/>
          <w:szCs w:val="21"/>
        </w:rPr>
        <w:t>G</w:t>
      </w:r>
      <w:r>
        <w:rPr>
          <w:rFonts w:ascii="宋体" w:hAnsi="宋体" w:eastAsia="宋体" w:cs="宋体"/>
          <w:spacing w:val="7"/>
          <w:sz w:val="21"/>
          <w:szCs w:val="21"/>
        </w:rPr>
        <w:t>、</w:t>
      </w:r>
      <w:r>
        <w:rPr>
          <w:rFonts w:ascii="宋体" w:hAnsi="宋体" w:eastAsia="宋体" w:cs="宋体"/>
          <w:sz w:val="21"/>
          <w:szCs w:val="21"/>
        </w:rPr>
        <w:t>H</w:t>
      </w:r>
      <w:r>
        <w:rPr>
          <w:rFonts w:ascii="宋体" w:hAnsi="宋体" w:eastAsia="宋体" w:cs="宋体"/>
          <w:spacing w:val="7"/>
          <w:sz w:val="21"/>
          <w:szCs w:val="21"/>
        </w:rPr>
        <w:t>、</w:t>
      </w:r>
      <w:r>
        <w:rPr>
          <w:rFonts w:ascii="宋体" w:hAnsi="宋体" w:eastAsia="宋体" w:cs="宋体"/>
          <w:sz w:val="21"/>
          <w:szCs w:val="21"/>
        </w:rPr>
        <w:t>I</w:t>
      </w:r>
      <w:r>
        <w:rPr>
          <w:rFonts w:ascii="宋体" w:hAnsi="宋体" w:eastAsia="宋体" w:cs="宋体"/>
          <w:spacing w:val="7"/>
          <w:sz w:val="21"/>
          <w:szCs w:val="21"/>
        </w:rPr>
        <w:t>、</w:t>
      </w:r>
      <w:r>
        <w:rPr>
          <w:rFonts w:ascii="宋体" w:hAnsi="宋体" w:eastAsia="宋体" w:cs="宋体"/>
          <w:sz w:val="21"/>
          <w:szCs w:val="21"/>
        </w:rPr>
        <w:t>J</w:t>
      </w:r>
      <w:r>
        <w:rPr>
          <w:rFonts w:ascii="宋体" w:hAnsi="宋体" w:eastAsia="宋体" w:cs="宋体"/>
          <w:spacing w:val="7"/>
          <w:sz w:val="21"/>
          <w:szCs w:val="21"/>
        </w:rPr>
        <w:t xml:space="preserve"> 六个专辑学科门</w:t>
      </w:r>
      <w:r>
        <w:rPr>
          <w:rFonts w:ascii="宋体" w:hAnsi="宋体" w:eastAsia="宋体" w:cs="宋体"/>
          <w:spacing w:val="6"/>
          <w:sz w:val="21"/>
          <w:szCs w:val="21"/>
        </w:rPr>
        <w:t>类</w:t>
      </w:r>
      <w:r>
        <w:rPr>
          <w:rFonts w:hint="eastAsia" w:ascii="宋体" w:hAnsi="宋体" w:eastAsia="宋体" w:cs="宋体"/>
          <w:spacing w:val="6"/>
          <w:sz w:val="21"/>
          <w:szCs w:val="21"/>
        </w:rPr>
        <w:t>。</w:t>
      </w:r>
    </w:p>
    <w:p>
      <w:pPr>
        <w:spacing w:line="360" w:lineRule="auto"/>
        <w:jc w:val="both"/>
        <w:rPr>
          <w:rFonts w:ascii="宋体" w:hAnsi="宋体" w:eastAsia="宋体" w:cs="宋体"/>
          <w:b/>
          <w:sz w:val="21"/>
          <w:szCs w:val="21"/>
        </w:rPr>
      </w:pPr>
      <w:r>
        <w:rPr>
          <w:rFonts w:ascii="宋体" w:hAnsi="宋体" w:eastAsia="宋体" w:cs="宋体"/>
          <w:b/>
          <w:spacing w:val="9"/>
          <w:position w:val="1"/>
          <w:sz w:val="21"/>
          <w:szCs w:val="21"/>
        </w:rPr>
        <w:t>二、数据量以及更新要</w:t>
      </w:r>
      <w:r>
        <w:rPr>
          <w:rFonts w:ascii="宋体" w:hAnsi="宋体" w:eastAsia="宋体" w:cs="宋体"/>
          <w:b/>
          <w:spacing w:val="7"/>
          <w:position w:val="1"/>
          <w:sz w:val="21"/>
          <w:szCs w:val="21"/>
        </w:rPr>
        <w:t>求</w:t>
      </w:r>
    </w:p>
    <w:p>
      <w:pPr>
        <w:spacing w:line="360" w:lineRule="auto"/>
        <w:ind w:firstLine="444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6"/>
          <w:sz w:val="21"/>
          <w:szCs w:val="21"/>
        </w:rPr>
        <w:t>(</w:t>
      </w:r>
      <w:r>
        <w:rPr>
          <w:rFonts w:ascii="宋体" w:hAnsi="宋体" w:eastAsia="宋体" w:cs="宋体"/>
          <w:spacing w:val="4"/>
          <w:sz w:val="21"/>
          <w:szCs w:val="21"/>
        </w:rPr>
        <w:t>一</w:t>
      </w:r>
      <w:r>
        <w:rPr>
          <w:rFonts w:hint="eastAsia" w:ascii="宋体" w:hAnsi="宋体" w:eastAsia="宋体" w:cs="宋体"/>
          <w:spacing w:val="4"/>
          <w:sz w:val="21"/>
          <w:szCs w:val="21"/>
        </w:rPr>
        <w:t>）</w:t>
      </w:r>
      <w:r>
        <w:rPr>
          <w:rFonts w:ascii="宋体" w:hAnsi="宋体" w:eastAsia="宋体" w:cs="宋体"/>
          <w:spacing w:val="4"/>
          <w:sz w:val="21"/>
          <w:szCs w:val="21"/>
        </w:rPr>
        <w:t>期刊</w:t>
      </w:r>
    </w:p>
    <w:p>
      <w:pPr>
        <w:spacing w:line="360" w:lineRule="auto"/>
        <w:ind w:firstLine="460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0"/>
          <w:sz w:val="21"/>
          <w:szCs w:val="21"/>
        </w:rPr>
        <w:t>出版时效平均</w:t>
      </w:r>
      <w:r>
        <w:rPr>
          <w:rFonts w:ascii="宋体" w:hAnsi="宋体" w:eastAsia="宋体" w:cs="宋体"/>
          <w:spacing w:val="9"/>
          <w:sz w:val="21"/>
          <w:szCs w:val="21"/>
        </w:rPr>
        <w:t>不</w:t>
      </w:r>
      <w:r>
        <w:rPr>
          <w:rFonts w:ascii="宋体" w:hAnsi="宋体" w:eastAsia="宋体" w:cs="宋体"/>
          <w:spacing w:val="5"/>
          <w:sz w:val="21"/>
          <w:szCs w:val="21"/>
        </w:rPr>
        <w:t xml:space="preserve">迟于纸质期刊出版之后2个月 </w:t>
      </w:r>
      <w:r>
        <w:rPr>
          <w:rFonts w:hint="eastAsia" w:ascii="宋体" w:hAnsi="宋体" w:eastAsia="宋体" w:cs="宋体"/>
          <w:spacing w:val="5"/>
          <w:sz w:val="21"/>
          <w:szCs w:val="21"/>
        </w:rPr>
        <w:t>（</w:t>
      </w:r>
      <w:r>
        <w:rPr>
          <w:rFonts w:ascii="宋体" w:hAnsi="宋体" w:eastAsia="宋体" w:cs="宋体"/>
          <w:spacing w:val="5"/>
          <w:sz w:val="21"/>
          <w:szCs w:val="21"/>
        </w:rPr>
        <w:t>优先出版期刊不低于 1000 种</w:t>
      </w:r>
      <w:r>
        <w:rPr>
          <w:rFonts w:hint="eastAsia" w:ascii="宋体" w:hAnsi="宋体" w:eastAsia="宋体" w:cs="宋体"/>
          <w:spacing w:val="5"/>
          <w:sz w:val="21"/>
          <w:szCs w:val="21"/>
        </w:rPr>
        <w:t>）</w:t>
      </w:r>
      <w:r>
        <w:rPr>
          <w:rFonts w:ascii="宋体" w:hAnsi="宋体" w:eastAsia="宋体" w:cs="宋体"/>
          <w:spacing w:val="5"/>
          <w:sz w:val="21"/>
          <w:szCs w:val="21"/>
        </w:rPr>
        <w:t>，数据每日更新。期</w:t>
      </w:r>
      <w:r>
        <w:rPr>
          <w:rFonts w:ascii="宋体" w:hAnsi="宋体" w:eastAsia="宋体" w:cs="宋体"/>
          <w:spacing w:val="8"/>
          <w:sz w:val="21"/>
          <w:szCs w:val="21"/>
        </w:rPr>
        <w:t>刊</w:t>
      </w:r>
      <w:r>
        <w:rPr>
          <w:rFonts w:ascii="宋体" w:hAnsi="宋体" w:eastAsia="宋体" w:cs="宋体"/>
          <w:spacing w:val="7"/>
          <w:sz w:val="21"/>
          <w:szCs w:val="21"/>
        </w:rPr>
        <w:t>收</w:t>
      </w:r>
      <w:r>
        <w:rPr>
          <w:rFonts w:ascii="宋体" w:hAnsi="宋体" w:eastAsia="宋体" w:cs="宋体"/>
          <w:spacing w:val="4"/>
          <w:sz w:val="21"/>
          <w:szCs w:val="21"/>
        </w:rPr>
        <w:t>录种数不低于 8000 种，其中202</w:t>
      </w:r>
      <w:r>
        <w:rPr>
          <w:rFonts w:hint="eastAsia" w:ascii="宋体" w:hAnsi="宋体" w:eastAsia="宋体" w:cs="宋体"/>
          <w:spacing w:val="4"/>
          <w:sz w:val="21"/>
          <w:szCs w:val="21"/>
        </w:rPr>
        <w:t>4</w:t>
      </w:r>
      <w:r>
        <w:rPr>
          <w:rFonts w:ascii="宋体" w:hAnsi="宋体" w:eastAsia="宋体" w:cs="宋体"/>
          <w:spacing w:val="4"/>
          <w:sz w:val="21"/>
          <w:szCs w:val="21"/>
        </w:rPr>
        <w:t>年北大版核心期刊的收录种数不低于该类期刊总数的 70%；全库收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"/>
          <w:sz w:val="21"/>
          <w:szCs w:val="21"/>
        </w:rPr>
        <w:t>录文献不低于</w:t>
      </w:r>
      <w:r>
        <w:rPr>
          <w:rFonts w:ascii="宋体" w:hAnsi="宋体" w:eastAsia="宋体" w:cs="宋体"/>
          <w:sz w:val="21"/>
          <w:szCs w:val="21"/>
        </w:rPr>
        <w:t xml:space="preserve"> 4500 万篇。</w:t>
      </w:r>
    </w:p>
    <w:p>
      <w:pPr>
        <w:spacing w:line="360" w:lineRule="auto"/>
        <w:ind w:firstLine="496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19"/>
          <w:sz w:val="21"/>
          <w:szCs w:val="21"/>
        </w:rPr>
        <w:t>（</w:t>
      </w:r>
      <w:r>
        <w:rPr>
          <w:rFonts w:ascii="宋体" w:hAnsi="宋体" w:eastAsia="宋体" w:cs="宋体"/>
          <w:spacing w:val="19"/>
          <w:sz w:val="21"/>
          <w:szCs w:val="21"/>
        </w:rPr>
        <w:t>二</w:t>
      </w:r>
      <w:r>
        <w:rPr>
          <w:rFonts w:hint="eastAsia" w:ascii="宋体" w:hAnsi="宋体" w:eastAsia="宋体" w:cs="宋体"/>
          <w:spacing w:val="19"/>
          <w:sz w:val="21"/>
          <w:szCs w:val="21"/>
        </w:rPr>
        <w:t>）</w:t>
      </w:r>
      <w:r>
        <w:rPr>
          <w:rFonts w:ascii="宋体" w:hAnsi="宋体" w:eastAsia="宋体" w:cs="宋体"/>
          <w:spacing w:val="19"/>
          <w:sz w:val="21"/>
          <w:szCs w:val="21"/>
        </w:rPr>
        <w:t>博士论</w:t>
      </w:r>
      <w:r>
        <w:rPr>
          <w:rFonts w:ascii="宋体" w:hAnsi="宋体" w:eastAsia="宋体" w:cs="宋体"/>
          <w:spacing w:val="17"/>
          <w:sz w:val="21"/>
          <w:szCs w:val="21"/>
        </w:rPr>
        <w:t>文</w:t>
      </w:r>
    </w:p>
    <w:p>
      <w:pPr>
        <w:spacing w:line="360" w:lineRule="auto"/>
        <w:ind w:firstLine="436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4"/>
          <w:sz w:val="21"/>
          <w:szCs w:val="21"/>
        </w:rPr>
        <w:t>202</w:t>
      </w:r>
      <w:r>
        <w:rPr>
          <w:rFonts w:hint="eastAsia" w:ascii="宋体" w:hAnsi="宋体" w:eastAsia="宋体" w:cs="宋体"/>
          <w:spacing w:val="4"/>
          <w:sz w:val="21"/>
          <w:szCs w:val="21"/>
        </w:rPr>
        <w:t>4</w:t>
      </w:r>
      <w:r>
        <w:rPr>
          <w:rFonts w:ascii="宋体" w:hAnsi="宋体" w:eastAsia="宋体" w:cs="宋体"/>
          <w:spacing w:val="4"/>
          <w:sz w:val="21"/>
          <w:szCs w:val="21"/>
        </w:rPr>
        <w:t xml:space="preserve"> 年获得全部博士培养单位授权数量不低于全国总培单位的70%，其中获得211高校、985</w:t>
      </w:r>
      <w:r>
        <w:rPr>
          <w:rFonts w:ascii="宋体" w:hAnsi="宋体" w:eastAsia="宋体" w:cs="宋体"/>
          <w:spacing w:val="3"/>
          <w:sz w:val="21"/>
          <w:szCs w:val="21"/>
        </w:rPr>
        <w:t>高</w:t>
      </w:r>
      <w:r>
        <w:rPr>
          <w:rFonts w:ascii="宋体" w:hAnsi="宋体" w:eastAsia="宋体" w:cs="宋体"/>
          <w:sz w:val="21"/>
          <w:szCs w:val="21"/>
        </w:rPr>
        <w:t>校授</w:t>
      </w:r>
      <w:r>
        <w:rPr>
          <w:rFonts w:ascii="宋体" w:hAnsi="宋体" w:eastAsia="宋体" w:cs="宋体"/>
          <w:spacing w:val="10"/>
          <w:sz w:val="21"/>
          <w:szCs w:val="21"/>
        </w:rPr>
        <w:t>权数</w:t>
      </w:r>
      <w:r>
        <w:rPr>
          <w:rFonts w:ascii="宋体" w:hAnsi="宋体" w:eastAsia="宋体" w:cs="宋体"/>
          <w:spacing w:val="7"/>
          <w:sz w:val="21"/>
          <w:szCs w:val="21"/>
        </w:rPr>
        <w:t>量</w:t>
      </w:r>
      <w:r>
        <w:rPr>
          <w:rFonts w:ascii="宋体" w:hAnsi="宋体" w:eastAsia="宋体" w:cs="宋体"/>
          <w:spacing w:val="5"/>
          <w:sz w:val="21"/>
          <w:szCs w:val="21"/>
        </w:rPr>
        <w:t>不低于全国该类高校总数的70%。</w:t>
      </w:r>
    </w:p>
    <w:p>
      <w:pPr>
        <w:spacing w:line="360" w:lineRule="auto"/>
        <w:ind w:firstLine="496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19"/>
          <w:sz w:val="21"/>
          <w:szCs w:val="21"/>
        </w:rPr>
        <w:t>（</w:t>
      </w:r>
      <w:r>
        <w:rPr>
          <w:rFonts w:ascii="宋体" w:hAnsi="宋体" w:eastAsia="宋体" w:cs="宋体"/>
          <w:spacing w:val="19"/>
          <w:sz w:val="21"/>
          <w:szCs w:val="21"/>
        </w:rPr>
        <w:t>三</w:t>
      </w:r>
      <w:r>
        <w:rPr>
          <w:rFonts w:hint="eastAsia" w:ascii="宋体" w:hAnsi="宋体" w:eastAsia="宋体" w:cs="宋体"/>
          <w:spacing w:val="19"/>
          <w:sz w:val="21"/>
          <w:szCs w:val="21"/>
        </w:rPr>
        <w:t>）</w:t>
      </w:r>
      <w:r>
        <w:rPr>
          <w:rFonts w:ascii="宋体" w:hAnsi="宋体" w:eastAsia="宋体" w:cs="宋体"/>
          <w:spacing w:val="19"/>
          <w:sz w:val="21"/>
          <w:szCs w:val="21"/>
        </w:rPr>
        <w:t>硕士论</w:t>
      </w:r>
      <w:r>
        <w:rPr>
          <w:rFonts w:ascii="宋体" w:hAnsi="宋体" w:eastAsia="宋体" w:cs="宋体"/>
          <w:spacing w:val="17"/>
          <w:sz w:val="21"/>
          <w:szCs w:val="21"/>
        </w:rPr>
        <w:t>文</w:t>
      </w:r>
    </w:p>
    <w:p>
      <w:pPr>
        <w:spacing w:line="360" w:lineRule="auto"/>
        <w:ind w:firstLine="436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4"/>
          <w:sz w:val="21"/>
          <w:szCs w:val="21"/>
        </w:rPr>
        <w:t>202</w:t>
      </w:r>
      <w:r>
        <w:rPr>
          <w:rFonts w:hint="eastAsia" w:ascii="宋体" w:hAnsi="宋体" w:eastAsia="宋体" w:cs="宋体"/>
          <w:spacing w:val="4"/>
          <w:sz w:val="21"/>
          <w:szCs w:val="21"/>
          <w:lang w:val="en-US" w:eastAsia="zh-CN"/>
        </w:rPr>
        <w:t>4</w:t>
      </w:r>
      <w:r>
        <w:rPr>
          <w:rFonts w:ascii="宋体" w:hAnsi="宋体" w:eastAsia="宋体" w:cs="宋体"/>
          <w:spacing w:val="4"/>
          <w:sz w:val="21"/>
          <w:szCs w:val="21"/>
        </w:rPr>
        <w:t>年获得全部硕士培养单位授权数量不低于全国总培单位的70%，其中获得211高校、985</w:t>
      </w:r>
      <w:r>
        <w:rPr>
          <w:rFonts w:ascii="宋体" w:hAnsi="宋体" w:eastAsia="宋体" w:cs="宋体"/>
          <w:spacing w:val="3"/>
          <w:sz w:val="21"/>
          <w:szCs w:val="21"/>
        </w:rPr>
        <w:t>高</w:t>
      </w:r>
      <w:r>
        <w:rPr>
          <w:rFonts w:ascii="宋体" w:hAnsi="宋体" w:eastAsia="宋体" w:cs="宋体"/>
          <w:sz w:val="21"/>
          <w:szCs w:val="21"/>
        </w:rPr>
        <w:t>校授</w:t>
      </w:r>
      <w:r>
        <w:rPr>
          <w:rFonts w:ascii="宋体" w:hAnsi="宋体" w:eastAsia="宋体" w:cs="宋体"/>
          <w:spacing w:val="10"/>
          <w:sz w:val="21"/>
          <w:szCs w:val="21"/>
        </w:rPr>
        <w:t>权数</w:t>
      </w:r>
      <w:r>
        <w:rPr>
          <w:rFonts w:ascii="宋体" w:hAnsi="宋体" w:eastAsia="宋体" w:cs="宋体"/>
          <w:spacing w:val="7"/>
          <w:sz w:val="21"/>
          <w:szCs w:val="21"/>
        </w:rPr>
        <w:t>量</w:t>
      </w:r>
      <w:r>
        <w:rPr>
          <w:rFonts w:ascii="宋体" w:hAnsi="宋体" w:eastAsia="宋体" w:cs="宋体"/>
          <w:spacing w:val="5"/>
          <w:sz w:val="21"/>
          <w:szCs w:val="21"/>
        </w:rPr>
        <w:t>不低</w:t>
      </w:r>
      <w:bookmarkStart w:id="1" w:name="_GoBack"/>
      <w:bookmarkEnd w:id="1"/>
      <w:r>
        <w:rPr>
          <w:rFonts w:ascii="宋体" w:hAnsi="宋体" w:eastAsia="宋体" w:cs="宋体"/>
          <w:spacing w:val="5"/>
          <w:sz w:val="21"/>
          <w:szCs w:val="21"/>
        </w:rPr>
        <w:t>于全国该类高校总数的70%。</w:t>
      </w:r>
    </w:p>
    <w:p>
      <w:pPr>
        <w:spacing w:line="360" w:lineRule="auto"/>
        <w:ind w:firstLine="520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25"/>
          <w:sz w:val="21"/>
          <w:szCs w:val="21"/>
        </w:rPr>
        <w:t>（</w:t>
      </w:r>
      <w:r>
        <w:rPr>
          <w:rFonts w:ascii="宋体" w:hAnsi="宋体" w:eastAsia="宋体" w:cs="宋体"/>
          <w:spacing w:val="21"/>
          <w:sz w:val="21"/>
          <w:szCs w:val="21"/>
        </w:rPr>
        <w:t>四</w:t>
      </w:r>
      <w:r>
        <w:rPr>
          <w:rFonts w:hint="eastAsia" w:ascii="宋体" w:hAnsi="宋体" w:eastAsia="宋体" w:cs="宋体"/>
          <w:spacing w:val="21"/>
          <w:sz w:val="21"/>
          <w:szCs w:val="21"/>
        </w:rPr>
        <w:t>）</w:t>
      </w:r>
      <w:r>
        <w:rPr>
          <w:rFonts w:ascii="宋体" w:hAnsi="宋体" w:eastAsia="宋体" w:cs="宋体"/>
          <w:spacing w:val="21"/>
          <w:sz w:val="21"/>
          <w:szCs w:val="21"/>
        </w:rPr>
        <w:t>报纸</w:t>
      </w:r>
    </w:p>
    <w:p>
      <w:pPr>
        <w:spacing w:line="360" w:lineRule="auto"/>
        <w:ind w:firstLine="428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"/>
          <w:sz w:val="21"/>
          <w:szCs w:val="21"/>
        </w:rPr>
        <w:t>全库总收录量不低</w:t>
      </w:r>
      <w:r>
        <w:rPr>
          <w:rFonts w:ascii="宋体" w:hAnsi="宋体" w:eastAsia="宋体" w:cs="宋体"/>
          <w:spacing w:val="1"/>
          <w:sz w:val="21"/>
          <w:szCs w:val="21"/>
        </w:rPr>
        <w:t>于1000万篇。</w:t>
      </w:r>
    </w:p>
    <w:p>
      <w:pPr>
        <w:spacing w:line="360" w:lineRule="auto"/>
        <w:ind w:firstLine="496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19"/>
          <w:sz w:val="21"/>
          <w:szCs w:val="21"/>
        </w:rPr>
        <w:t>（</w:t>
      </w:r>
      <w:r>
        <w:rPr>
          <w:rFonts w:ascii="宋体" w:hAnsi="宋体" w:eastAsia="宋体" w:cs="宋体"/>
          <w:spacing w:val="19"/>
          <w:sz w:val="21"/>
          <w:szCs w:val="21"/>
        </w:rPr>
        <w:t>五</w:t>
      </w:r>
      <w:r>
        <w:rPr>
          <w:rFonts w:hint="eastAsia" w:ascii="宋体" w:hAnsi="宋体" w:eastAsia="宋体" w:cs="宋体"/>
          <w:spacing w:val="19"/>
          <w:sz w:val="21"/>
          <w:szCs w:val="21"/>
        </w:rPr>
        <w:t>）</w:t>
      </w:r>
      <w:r>
        <w:rPr>
          <w:rFonts w:ascii="宋体" w:hAnsi="宋体" w:eastAsia="宋体" w:cs="宋体"/>
          <w:spacing w:val="19"/>
          <w:sz w:val="21"/>
          <w:szCs w:val="21"/>
        </w:rPr>
        <w:t>会议论</w:t>
      </w:r>
      <w:r>
        <w:rPr>
          <w:rFonts w:ascii="宋体" w:hAnsi="宋体" w:eastAsia="宋体" w:cs="宋体"/>
          <w:spacing w:val="17"/>
          <w:sz w:val="21"/>
          <w:szCs w:val="21"/>
        </w:rPr>
        <w:t>文</w:t>
      </w:r>
    </w:p>
    <w:p>
      <w:pPr>
        <w:spacing w:line="360" w:lineRule="auto"/>
        <w:ind w:firstLine="428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"/>
          <w:sz w:val="21"/>
          <w:szCs w:val="21"/>
        </w:rPr>
        <w:t>全库总体收录量不低于15</w:t>
      </w:r>
      <w:r>
        <w:rPr>
          <w:rFonts w:ascii="宋体" w:hAnsi="宋体" w:eastAsia="宋体" w:cs="宋体"/>
          <w:spacing w:val="1"/>
          <w:sz w:val="21"/>
          <w:szCs w:val="21"/>
        </w:rPr>
        <w:t>000本。</w:t>
      </w:r>
    </w:p>
    <w:p>
      <w:pPr>
        <w:spacing w:line="360" w:lineRule="auto"/>
        <w:jc w:val="both"/>
        <w:rPr>
          <w:rFonts w:ascii="宋体" w:hAnsi="宋体" w:eastAsia="宋体" w:cs="宋体"/>
          <w:b/>
          <w:sz w:val="21"/>
          <w:szCs w:val="21"/>
        </w:rPr>
      </w:pPr>
      <w:r>
        <w:rPr>
          <w:rFonts w:ascii="宋体" w:hAnsi="宋体" w:eastAsia="宋体" w:cs="宋体"/>
          <w:b/>
          <w:spacing w:val="9"/>
          <w:position w:val="1"/>
          <w:sz w:val="21"/>
          <w:szCs w:val="21"/>
        </w:rPr>
        <w:t>三</w:t>
      </w:r>
      <w:r>
        <w:rPr>
          <w:rFonts w:ascii="宋体" w:hAnsi="宋体" w:eastAsia="宋体" w:cs="宋体"/>
          <w:b/>
          <w:spacing w:val="8"/>
          <w:position w:val="1"/>
          <w:sz w:val="21"/>
          <w:szCs w:val="21"/>
        </w:rPr>
        <w:t>、功能要求</w:t>
      </w:r>
    </w:p>
    <w:p>
      <w:pPr>
        <w:spacing w:line="360" w:lineRule="auto"/>
        <w:ind w:firstLine="412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2"/>
          <w:sz w:val="21"/>
          <w:szCs w:val="21"/>
        </w:rPr>
        <w:t>(一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）</w:t>
      </w:r>
      <w:r>
        <w:rPr>
          <w:rFonts w:ascii="宋体" w:hAnsi="宋体" w:eastAsia="宋体" w:cs="宋体"/>
          <w:spacing w:val="-2"/>
          <w:sz w:val="21"/>
          <w:szCs w:val="21"/>
        </w:rPr>
        <w:t xml:space="preserve">文献下载能够提供 </w:t>
      </w:r>
      <w:r>
        <w:rPr>
          <w:rFonts w:ascii="宋体" w:hAnsi="宋体" w:eastAsia="宋体" w:cs="宋体"/>
          <w:spacing w:val="-1"/>
          <w:sz w:val="21"/>
          <w:szCs w:val="21"/>
        </w:rPr>
        <w:t>CAJ 或 PDF 格式。</w:t>
      </w:r>
    </w:p>
    <w:p>
      <w:pPr>
        <w:spacing w:line="360" w:lineRule="auto"/>
        <w:ind w:firstLine="472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13"/>
          <w:sz w:val="21"/>
          <w:szCs w:val="21"/>
        </w:rPr>
        <w:t>（</w:t>
      </w:r>
      <w:r>
        <w:rPr>
          <w:rFonts w:ascii="宋体" w:hAnsi="宋体" w:eastAsia="宋体" w:cs="宋体"/>
          <w:spacing w:val="11"/>
          <w:sz w:val="21"/>
          <w:szCs w:val="21"/>
        </w:rPr>
        <w:t>二</w:t>
      </w:r>
      <w:r>
        <w:rPr>
          <w:rFonts w:hint="eastAsia" w:ascii="宋体" w:hAnsi="宋体" w:eastAsia="宋体" w:cs="宋体"/>
          <w:spacing w:val="11"/>
          <w:sz w:val="21"/>
          <w:szCs w:val="21"/>
        </w:rPr>
        <w:t>）</w:t>
      </w:r>
      <w:r>
        <w:rPr>
          <w:rFonts w:ascii="宋体" w:hAnsi="宋体" w:eastAsia="宋体" w:cs="宋体"/>
          <w:spacing w:val="11"/>
          <w:sz w:val="21"/>
          <w:szCs w:val="21"/>
        </w:rPr>
        <w:t>支持跨库统一检索与统一导航，提供数据库全文文献的检索、浏览和下载服务，并将检索结果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3"/>
          <w:sz w:val="21"/>
          <w:szCs w:val="21"/>
        </w:rPr>
        <w:t>按</w:t>
      </w:r>
      <w:r>
        <w:rPr>
          <w:rFonts w:ascii="宋体" w:hAnsi="宋体" w:eastAsia="宋体" w:cs="宋体"/>
          <w:spacing w:val="9"/>
          <w:sz w:val="21"/>
          <w:szCs w:val="21"/>
        </w:rPr>
        <w:t>照相关度、下载次数、引用次数自动排序，方便择优下载。</w:t>
      </w:r>
    </w:p>
    <w:p>
      <w:pPr>
        <w:spacing w:line="360" w:lineRule="auto"/>
        <w:ind w:firstLine="476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14"/>
          <w:sz w:val="21"/>
          <w:szCs w:val="21"/>
        </w:rPr>
        <w:t>（</w:t>
      </w:r>
      <w:r>
        <w:rPr>
          <w:rFonts w:ascii="宋体" w:hAnsi="宋体" w:eastAsia="宋体" w:cs="宋体"/>
          <w:spacing w:val="12"/>
          <w:sz w:val="21"/>
          <w:szCs w:val="21"/>
        </w:rPr>
        <w:t>三</w:t>
      </w:r>
      <w:r>
        <w:rPr>
          <w:rFonts w:hint="eastAsia" w:ascii="宋体" w:hAnsi="宋体" w:eastAsia="宋体" w:cs="宋体"/>
          <w:spacing w:val="12"/>
          <w:sz w:val="21"/>
          <w:szCs w:val="21"/>
        </w:rPr>
        <w:t>）</w:t>
      </w:r>
      <w:r>
        <w:rPr>
          <w:rFonts w:ascii="宋体" w:hAnsi="宋体" w:eastAsia="宋体" w:cs="宋体"/>
          <w:spacing w:val="12"/>
          <w:sz w:val="21"/>
          <w:szCs w:val="21"/>
        </w:rPr>
        <w:t>支持参考文献、相似文献、引证文献的链接及二级链接。</w:t>
      </w:r>
    </w:p>
    <w:p>
      <w:pPr>
        <w:spacing w:line="360" w:lineRule="auto"/>
        <w:ind w:firstLine="484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16"/>
          <w:sz w:val="21"/>
          <w:szCs w:val="21"/>
        </w:rPr>
        <w:t>（</w:t>
      </w:r>
      <w:r>
        <w:rPr>
          <w:rFonts w:ascii="宋体" w:hAnsi="宋体" w:eastAsia="宋体" w:cs="宋体"/>
          <w:spacing w:val="16"/>
          <w:sz w:val="21"/>
          <w:szCs w:val="21"/>
        </w:rPr>
        <w:t>四</w:t>
      </w:r>
      <w:r>
        <w:rPr>
          <w:rFonts w:hint="eastAsia" w:ascii="宋体" w:hAnsi="宋体" w:eastAsia="宋体" w:cs="宋体"/>
          <w:spacing w:val="16"/>
          <w:sz w:val="21"/>
          <w:szCs w:val="21"/>
        </w:rPr>
        <w:t>）</w:t>
      </w:r>
      <w:r>
        <w:rPr>
          <w:rFonts w:ascii="宋体" w:hAnsi="宋体" w:eastAsia="宋体" w:cs="宋体"/>
          <w:spacing w:val="8"/>
          <w:sz w:val="21"/>
          <w:szCs w:val="21"/>
        </w:rPr>
        <w:t xml:space="preserve">实现对用户的访问和使用情况进行详细的记录，并进行统计分析 </w:t>
      </w:r>
      <w:r>
        <w:rPr>
          <w:rFonts w:hint="eastAsia" w:ascii="宋体" w:hAnsi="宋体" w:eastAsia="宋体" w:cs="宋体"/>
          <w:spacing w:val="8"/>
          <w:sz w:val="21"/>
          <w:szCs w:val="21"/>
        </w:rPr>
        <w:t>（</w:t>
      </w:r>
      <w:r>
        <w:rPr>
          <w:rFonts w:ascii="宋体" w:hAnsi="宋体" w:eastAsia="宋体" w:cs="宋体"/>
          <w:spacing w:val="8"/>
          <w:sz w:val="21"/>
          <w:szCs w:val="21"/>
        </w:rPr>
        <w:t>可按时间、用户、</w:t>
      </w:r>
      <w:r>
        <w:rPr>
          <w:rFonts w:ascii="宋体" w:hAnsi="宋体" w:eastAsia="宋体" w:cs="宋体"/>
          <w:sz w:val="21"/>
          <w:szCs w:val="21"/>
        </w:rPr>
        <w:t>IP</w:t>
      </w:r>
      <w:r>
        <w:rPr>
          <w:rFonts w:ascii="宋体" w:hAnsi="宋体" w:eastAsia="宋体" w:cs="宋体"/>
          <w:spacing w:val="8"/>
          <w:sz w:val="21"/>
          <w:szCs w:val="21"/>
        </w:rPr>
        <w:t>地址等</w:t>
      </w:r>
      <w:r>
        <w:rPr>
          <w:rFonts w:ascii="宋体" w:hAnsi="宋体" w:eastAsia="宋体" w:cs="宋体"/>
          <w:spacing w:val="9"/>
          <w:sz w:val="21"/>
          <w:szCs w:val="21"/>
        </w:rPr>
        <w:t>方式进行统计分析</w:t>
      </w:r>
      <w:r>
        <w:rPr>
          <w:rFonts w:hint="eastAsia" w:ascii="宋体" w:hAnsi="宋体" w:eastAsia="宋体" w:cs="宋体"/>
          <w:spacing w:val="9"/>
          <w:sz w:val="21"/>
          <w:szCs w:val="21"/>
        </w:rPr>
        <w:t>）</w:t>
      </w:r>
      <w:r>
        <w:rPr>
          <w:rFonts w:ascii="宋体" w:hAnsi="宋体" w:eastAsia="宋体" w:cs="宋体"/>
          <w:spacing w:val="9"/>
          <w:sz w:val="21"/>
          <w:szCs w:val="21"/>
        </w:rPr>
        <w:t>，并根据采购方要求及时反馈统计分析结果</w:t>
      </w:r>
      <w:r>
        <w:rPr>
          <w:rFonts w:ascii="宋体" w:hAnsi="宋体" w:eastAsia="宋体" w:cs="宋体"/>
          <w:spacing w:val="7"/>
          <w:sz w:val="21"/>
          <w:szCs w:val="21"/>
        </w:rPr>
        <w:t>。</w:t>
      </w:r>
    </w:p>
    <w:p>
      <w:pPr>
        <w:spacing w:line="360" w:lineRule="auto"/>
        <w:ind w:firstLine="464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11"/>
          <w:sz w:val="21"/>
          <w:szCs w:val="21"/>
        </w:rPr>
        <w:t>（</w:t>
      </w:r>
      <w:r>
        <w:rPr>
          <w:rFonts w:ascii="宋体" w:hAnsi="宋体" w:eastAsia="宋体" w:cs="宋体"/>
          <w:spacing w:val="8"/>
          <w:sz w:val="21"/>
          <w:szCs w:val="21"/>
        </w:rPr>
        <w:t>五</w:t>
      </w:r>
      <w:r>
        <w:rPr>
          <w:rFonts w:hint="eastAsia" w:ascii="宋体" w:hAnsi="宋体" w:eastAsia="宋体" w:cs="宋体"/>
          <w:spacing w:val="8"/>
          <w:sz w:val="21"/>
          <w:szCs w:val="21"/>
        </w:rPr>
        <w:t>）</w:t>
      </w:r>
      <w:r>
        <w:rPr>
          <w:rFonts w:ascii="宋体" w:hAnsi="宋体" w:eastAsia="宋体" w:cs="宋体"/>
          <w:spacing w:val="8"/>
          <w:sz w:val="21"/>
          <w:szCs w:val="21"/>
        </w:rPr>
        <w:t>支持漫游账号功能，为采购方提供一定数量的漫游账号以满足采购方学院</w:t>
      </w:r>
      <w:r>
        <w:rPr>
          <w:rFonts w:ascii="宋体" w:hAnsi="宋体" w:eastAsia="宋体" w:cs="宋体"/>
          <w:sz w:val="21"/>
          <w:szCs w:val="21"/>
        </w:rPr>
        <w:t>IP</w:t>
      </w:r>
      <w:r>
        <w:rPr>
          <w:rFonts w:ascii="宋体" w:hAnsi="宋体" w:eastAsia="宋体" w:cs="宋体"/>
          <w:spacing w:val="8"/>
          <w:sz w:val="21"/>
          <w:szCs w:val="21"/>
        </w:rPr>
        <w:t>地址范围外教学、</w:t>
      </w:r>
      <w:r>
        <w:rPr>
          <w:rFonts w:ascii="宋体" w:hAnsi="宋体" w:eastAsia="宋体" w:cs="宋体"/>
          <w:spacing w:val="18"/>
          <w:sz w:val="21"/>
          <w:szCs w:val="21"/>
        </w:rPr>
        <w:t>科</w:t>
      </w:r>
      <w:r>
        <w:rPr>
          <w:rFonts w:ascii="宋体" w:hAnsi="宋体" w:eastAsia="宋体" w:cs="宋体"/>
          <w:spacing w:val="14"/>
          <w:sz w:val="21"/>
          <w:szCs w:val="21"/>
        </w:rPr>
        <w:t>研</w:t>
      </w:r>
      <w:r>
        <w:rPr>
          <w:rFonts w:ascii="宋体" w:hAnsi="宋体" w:eastAsia="宋体" w:cs="宋体"/>
          <w:spacing w:val="9"/>
          <w:sz w:val="21"/>
          <w:szCs w:val="21"/>
        </w:rPr>
        <w:t>工作时的访问使用需求。平台可实现机构数字图书馆，个人数字图书馆定制，并扩展到专业馆及课程</w:t>
      </w:r>
      <w:r>
        <w:rPr>
          <w:rFonts w:ascii="宋体" w:hAnsi="宋体" w:eastAsia="宋体" w:cs="宋体"/>
          <w:spacing w:val="6"/>
          <w:sz w:val="21"/>
          <w:szCs w:val="21"/>
        </w:rPr>
        <w:t>馆</w:t>
      </w:r>
      <w:r>
        <w:rPr>
          <w:rFonts w:ascii="宋体" w:hAnsi="宋体" w:eastAsia="宋体" w:cs="宋体"/>
          <w:spacing w:val="5"/>
          <w:sz w:val="21"/>
          <w:szCs w:val="21"/>
        </w:rPr>
        <w:t>功能。</w:t>
      </w:r>
    </w:p>
    <w:p>
      <w:pPr>
        <w:spacing w:line="360" w:lineRule="auto"/>
        <w:jc w:val="both"/>
        <w:rPr>
          <w:rFonts w:ascii="宋体" w:hAnsi="宋体" w:eastAsia="宋体" w:cs="宋体"/>
          <w:b/>
          <w:sz w:val="21"/>
          <w:szCs w:val="21"/>
        </w:rPr>
      </w:pPr>
      <w:r>
        <w:rPr>
          <w:rFonts w:ascii="宋体" w:hAnsi="宋体" w:eastAsia="宋体" w:cs="宋体"/>
          <w:b/>
          <w:spacing w:val="5"/>
          <w:sz w:val="21"/>
          <w:szCs w:val="21"/>
        </w:rPr>
        <w:t>四、服务方</w:t>
      </w:r>
      <w:r>
        <w:rPr>
          <w:rFonts w:ascii="宋体" w:hAnsi="宋体" w:eastAsia="宋体" w:cs="宋体"/>
          <w:b/>
          <w:spacing w:val="4"/>
          <w:sz w:val="21"/>
          <w:szCs w:val="21"/>
        </w:rPr>
        <w:t>式</w:t>
      </w:r>
    </w:p>
    <w:p>
      <w:pPr>
        <w:spacing w:line="360" w:lineRule="auto"/>
        <w:ind w:firstLine="460" w:firstLineChars="200"/>
        <w:jc w:val="both"/>
        <w:rPr>
          <w:rFonts w:ascii="宋体" w:hAnsi="宋体" w:eastAsia="宋体" w:cs="宋体"/>
          <w:spacing w:val="10"/>
          <w:sz w:val="21"/>
          <w:szCs w:val="21"/>
        </w:rPr>
      </w:pPr>
      <w:r>
        <w:rPr>
          <w:rFonts w:ascii="宋体" w:hAnsi="宋体" w:eastAsia="宋体" w:cs="宋体"/>
          <w:spacing w:val="10"/>
          <w:sz w:val="21"/>
          <w:szCs w:val="21"/>
        </w:rPr>
        <w:t>(一</w:t>
      </w:r>
      <w:r>
        <w:rPr>
          <w:rFonts w:hint="eastAsia" w:ascii="宋体" w:hAnsi="宋体" w:eastAsia="宋体" w:cs="宋体"/>
          <w:spacing w:val="10"/>
          <w:sz w:val="21"/>
          <w:szCs w:val="21"/>
        </w:rPr>
        <w:t>）</w:t>
      </w:r>
      <w:r>
        <w:rPr>
          <w:rFonts w:ascii="宋体" w:hAnsi="宋体" w:eastAsia="宋体" w:cs="宋体"/>
          <w:spacing w:val="10"/>
          <w:sz w:val="21"/>
          <w:szCs w:val="21"/>
        </w:rPr>
        <w:t>远程访问+全部数据本地镜像。</w:t>
      </w:r>
    </w:p>
    <w:p>
      <w:pPr>
        <w:spacing w:line="360" w:lineRule="auto"/>
        <w:ind w:firstLine="460" w:firstLineChars="200"/>
        <w:jc w:val="both"/>
        <w:rPr>
          <w:rFonts w:ascii="宋体" w:hAnsi="宋体" w:eastAsia="宋体" w:cs="宋体"/>
          <w:spacing w:val="10"/>
          <w:sz w:val="21"/>
          <w:szCs w:val="21"/>
        </w:rPr>
      </w:pPr>
      <w:r>
        <w:rPr>
          <w:rFonts w:hint="eastAsia" w:ascii="宋体" w:hAnsi="宋体" w:eastAsia="宋体" w:cs="宋体"/>
          <w:spacing w:val="10"/>
          <w:sz w:val="21"/>
          <w:szCs w:val="21"/>
        </w:rPr>
        <w:t>（</w:t>
      </w:r>
      <w:r>
        <w:rPr>
          <w:rFonts w:ascii="宋体" w:hAnsi="宋体" w:eastAsia="宋体" w:cs="宋体"/>
          <w:spacing w:val="10"/>
          <w:sz w:val="21"/>
          <w:szCs w:val="21"/>
        </w:rPr>
        <w:t>二</w:t>
      </w:r>
      <w:r>
        <w:rPr>
          <w:rFonts w:hint="eastAsia" w:ascii="宋体" w:hAnsi="宋体" w:eastAsia="宋体" w:cs="宋体"/>
          <w:spacing w:val="10"/>
          <w:sz w:val="21"/>
          <w:szCs w:val="21"/>
        </w:rPr>
        <w:t>）</w:t>
      </w:r>
      <w:r>
        <w:rPr>
          <w:rFonts w:ascii="宋体" w:hAnsi="宋体" w:eastAsia="宋体" w:cs="宋体"/>
          <w:spacing w:val="10"/>
          <w:sz w:val="21"/>
          <w:szCs w:val="21"/>
        </w:rPr>
        <w:t>采购方远程访问供应商服务器时，供应商须提供采</w:t>
      </w:r>
      <w:r>
        <w:rPr>
          <w:rFonts w:hint="eastAsia" w:ascii="宋体" w:hAnsi="宋体" w:eastAsia="宋体" w:cs="宋体"/>
          <w:spacing w:val="10"/>
          <w:sz w:val="21"/>
          <w:szCs w:val="21"/>
        </w:rPr>
        <w:t>购入</w:t>
      </w:r>
      <w:r>
        <w:rPr>
          <w:rFonts w:ascii="宋体" w:hAnsi="宋体" w:eastAsia="宋体" w:cs="宋体"/>
          <w:spacing w:val="10"/>
          <w:sz w:val="21"/>
          <w:szCs w:val="21"/>
        </w:rPr>
        <w:t>订购范围内期刊自创刊号起所有该期刊 的内容。</w:t>
      </w:r>
    </w:p>
    <w:p>
      <w:pPr>
        <w:spacing w:line="360" w:lineRule="auto"/>
        <w:ind w:firstLine="460" w:firstLineChars="200"/>
        <w:jc w:val="both"/>
        <w:rPr>
          <w:rFonts w:ascii="宋体" w:hAnsi="宋体" w:eastAsia="宋体" w:cs="宋体"/>
          <w:spacing w:val="10"/>
          <w:sz w:val="21"/>
          <w:szCs w:val="21"/>
        </w:rPr>
      </w:pPr>
      <w:r>
        <w:rPr>
          <w:rFonts w:hint="eastAsia" w:ascii="宋体" w:hAnsi="宋体" w:eastAsia="宋体" w:cs="宋体"/>
          <w:spacing w:val="10"/>
          <w:sz w:val="21"/>
          <w:szCs w:val="21"/>
        </w:rPr>
        <w:t>（三）</w:t>
      </w:r>
      <w:r>
        <w:rPr>
          <w:rFonts w:ascii="宋体" w:hAnsi="宋体" w:eastAsia="宋体" w:cs="宋体"/>
          <w:spacing w:val="10"/>
          <w:sz w:val="21"/>
          <w:szCs w:val="21"/>
        </w:rPr>
        <w:t>漫游</w:t>
      </w:r>
      <w:r>
        <w:rPr>
          <w:rFonts w:hint="eastAsia" w:ascii="宋体" w:hAnsi="宋体" w:eastAsia="宋体" w:cs="宋体"/>
          <w:spacing w:val="10"/>
          <w:sz w:val="21"/>
          <w:szCs w:val="21"/>
        </w:rPr>
        <w:t>账号</w:t>
      </w:r>
      <w:r>
        <w:rPr>
          <w:rFonts w:ascii="宋体" w:hAnsi="宋体" w:eastAsia="宋体" w:cs="宋体"/>
          <w:spacing w:val="10"/>
          <w:sz w:val="21"/>
          <w:szCs w:val="21"/>
        </w:rPr>
        <w:t>：100个。</w:t>
      </w:r>
    </w:p>
    <w:p>
      <w:pPr>
        <w:spacing w:line="360" w:lineRule="auto"/>
        <w:jc w:val="both"/>
        <w:rPr>
          <w:rFonts w:ascii="宋体" w:hAnsi="宋体" w:eastAsia="宋体" w:cs="宋体"/>
          <w:b/>
          <w:sz w:val="21"/>
          <w:szCs w:val="21"/>
        </w:rPr>
      </w:pPr>
      <w:r>
        <w:rPr>
          <w:rFonts w:ascii="宋体" w:hAnsi="宋体" w:eastAsia="宋体" w:cs="宋体"/>
          <w:b/>
          <w:spacing w:val="11"/>
          <w:sz w:val="21"/>
          <w:szCs w:val="21"/>
        </w:rPr>
        <w:t>五</w:t>
      </w:r>
      <w:r>
        <w:rPr>
          <w:rFonts w:ascii="宋体" w:hAnsi="宋体" w:eastAsia="宋体" w:cs="宋体"/>
          <w:b/>
          <w:spacing w:val="7"/>
          <w:sz w:val="21"/>
          <w:szCs w:val="21"/>
        </w:rPr>
        <w:t>、版权要求</w:t>
      </w:r>
    </w:p>
    <w:p>
      <w:pPr>
        <w:spacing w:line="360" w:lineRule="auto"/>
        <w:ind w:firstLine="464" w:firstLineChars="200"/>
        <w:jc w:val="both"/>
        <w:rPr>
          <w:rFonts w:ascii="宋体" w:hAnsi="宋体" w:eastAsia="宋体" w:cs="宋体"/>
          <w:spacing w:val="11"/>
          <w:sz w:val="21"/>
          <w:szCs w:val="21"/>
        </w:rPr>
      </w:pPr>
      <w:r>
        <w:rPr>
          <w:rFonts w:ascii="宋体" w:hAnsi="宋体" w:eastAsia="宋体" w:cs="宋体"/>
          <w:spacing w:val="11"/>
          <w:sz w:val="21"/>
          <w:szCs w:val="21"/>
        </w:rPr>
        <w:t>(一</w:t>
      </w:r>
      <w:r>
        <w:rPr>
          <w:rFonts w:hint="eastAsia" w:ascii="宋体" w:hAnsi="宋体" w:eastAsia="宋体" w:cs="宋体"/>
          <w:spacing w:val="11"/>
          <w:sz w:val="21"/>
          <w:szCs w:val="21"/>
        </w:rPr>
        <w:t>）</w:t>
      </w:r>
      <w:r>
        <w:rPr>
          <w:rFonts w:ascii="宋体" w:hAnsi="宋体" w:eastAsia="宋体" w:cs="宋体"/>
          <w:spacing w:val="11"/>
          <w:sz w:val="21"/>
          <w:szCs w:val="21"/>
        </w:rPr>
        <w:t>要求供应商必须保障采购方使用其产品、服务及其任何部分不受到第三方关于侵犯专利权、商</w:t>
      </w:r>
    </w:p>
    <w:p>
      <w:pPr>
        <w:spacing w:line="360" w:lineRule="auto"/>
        <w:ind w:firstLine="464" w:firstLineChars="200"/>
        <w:jc w:val="both"/>
        <w:rPr>
          <w:rFonts w:ascii="宋体" w:hAnsi="宋体" w:eastAsia="宋体" w:cs="宋体"/>
          <w:spacing w:val="11"/>
          <w:sz w:val="21"/>
          <w:szCs w:val="21"/>
        </w:rPr>
      </w:pPr>
      <w:r>
        <w:rPr>
          <w:rFonts w:ascii="宋体" w:hAnsi="宋体" w:eastAsia="宋体" w:cs="宋体"/>
          <w:spacing w:val="11"/>
          <w:sz w:val="21"/>
          <w:szCs w:val="21"/>
        </w:rPr>
        <w:t>标权或工业设计权等知识产权的指控。任何第三方如果提出指控，供应商必须与第三方交涉并承担由此引 发的一切法律责任和费用。</w:t>
      </w:r>
    </w:p>
    <w:p>
      <w:pPr>
        <w:spacing w:line="360" w:lineRule="auto"/>
        <w:ind w:firstLine="464" w:firstLineChars="200"/>
        <w:jc w:val="both"/>
        <w:rPr>
          <w:rFonts w:ascii="宋体" w:hAnsi="宋体" w:eastAsia="宋体" w:cs="宋体"/>
          <w:spacing w:val="11"/>
          <w:sz w:val="21"/>
          <w:szCs w:val="21"/>
        </w:rPr>
      </w:pPr>
      <w:r>
        <w:rPr>
          <w:rFonts w:hint="eastAsia" w:ascii="宋体" w:hAnsi="宋体" w:eastAsia="宋体" w:cs="宋体"/>
          <w:spacing w:val="11"/>
          <w:sz w:val="21"/>
          <w:szCs w:val="21"/>
        </w:rPr>
        <w:t>（</w:t>
      </w:r>
      <w:r>
        <w:rPr>
          <w:rFonts w:ascii="宋体" w:hAnsi="宋体" w:eastAsia="宋体" w:cs="宋体"/>
          <w:spacing w:val="11"/>
          <w:sz w:val="21"/>
          <w:szCs w:val="21"/>
        </w:rPr>
        <w:t>二</w:t>
      </w:r>
      <w:r>
        <w:rPr>
          <w:rFonts w:hint="eastAsia" w:ascii="宋体" w:hAnsi="宋体" w:eastAsia="宋体" w:cs="宋体"/>
          <w:spacing w:val="11"/>
          <w:sz w:val="21"/>
          <w:szCs w:val="21"/>
        </w:rPr>
        <w:t>）</w:t>
      </w:r>
      <w:r>
        <w:rPr>
          <w:rFonts w:ascii="宋体" w:hAnsi="宋体" w:eastAsia="宋体" w:cs="宋体"/>
          <w:spacing w:val="11"/>
          <w:sz w:val="21"/>
          <w:szCs w:val="21"/>
        </w:rPr>
        <w:t>供应商须提供</w:t>
      </w:r>
      <w:r>
        <w:rPr>
          <w:rFonts w:hint="eastAsia" w:ascii="宋体" w:hAnsi="宋体" w:eastAsia="宋体" w:cs="宋体"/>
          <w:spacing w:val="11"/>
          <w:sz w:val="21"/>
          <w:szCs w:val="21"/>
        </w:rPr>
        <w:t>国家版权局</w:t>
      </w:r>
      <w:r>
        <w:rPr>
          <w:rFonts w:ascii="宋体" w:hAnsi="宋体" w:eastAsia="宋体" w:cs="宋体"/>
          <w:spacing w:val="11"/>
          <w:sz w:val="21"/>
          <w:szCs w:val="21"/>
        </w:rPr>
        <w:t>出具的相关著作权证明。</w:t>
      </w:r>
    </w:p>
    <w:p>
      <w:pPr>
        <w:spacing w:line="360" w:lineRule="auto"/>
        <w:jc w:val="both"/>
        <w:rPr>
          <w:rFonts w:ascii="宋体" w:hAnsi="宋体" w:eastAsia="宋体" w:cs="宋体"/>
          <w:b/>
          <w:sz w:val="21"/>
          <w:szCs w:val="21"/>
        </w:rPr>
      </w:pPr>
      <w:r>
        <w:rPr>
          <w:rFonts w:ascii="宋体" w:hAnsi="宋体" w:eastAsia="宋体" w:cs="宋体"/>
          <w:b/>
          <w:spacing w:val="11"/>
          <w:sz w:val="21"/>
          <w:szCs w:val="21"/>
        </w:rPr>
        <w:t>六</w:t>
      </w:r>
      <w:r>
        <w:rPr>
          <w:rFonts w:ascii="宋体" w:hAnsi="宋体" w:eastAsia="宋体" w:cs="宋体"/>
          <w:b/>
          <w:spacing w:val="8"/>
          <w:sz w:val="21"/>
          <w:szCs w:val="21"/>
        </w:rPr>
        <w:t>、售后服务要求</w:t>
      </w:r>
    </w:p>
    <w:p>
      <w:pPr>
        <w:spacing w:line="360" w:lineRule="auto"/>
        <w:ind w:firstLine="484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6"/>
          <w:sz w:val="21"/>
          <w:szCs w:val="21"/>
        </w:rPr>
        <w:t>(</w:t>
      </w:r>
      <w:r>
        <w:rPr>
          <w:rFonts w:ascii="宋体" w:hAnsi="宋体" w:eastAsia="宋体" w:cs="宋体"/>
          <w:spacing w:val="1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8"/>
          <w:sz w:val="21"/>
          <w:szCs w:val="21"/>
        </w:rPr>
        <w:t>一</w:t>
      </w:r>
      <w:r>
        <w:rPr>
          <w:rFonts w:hint="eastAsia" w:ascii="宋体" w:hAnsi="宋体" w:eastAsia="宋体" w:cs="宋体"/>
          <w:spacing w:val="8"/>
          <w:sz w:val="21"/>
          <w:szCs w:val="21"/>
        </w:rPr>
        <w:t>）</w:t>
      </w:r>
      <w:r>
        <w:rPr>
          <w:rFonts w:ascii="宋体" w:hAnsi="宋体" w:eastAsia="宋体" w:cs="宋体"/>
          <w:spacing w:val="8"/>
          <w:sz w:val="21"/>
          <w:szCs w:val="21"/>
        </w:rPr>
        <w:t>供应商应保障采购方所购数据库产品在使用期内的完整性。</w:t>
      </w:r>
    </w:p>
    <w:p>
      <w:pPr>
        <w:spacing w:line="360" w:lineRule="auto"/>
        <w:ind w:firstLine="508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22"/>
          <w:sz w:val="21"/>
          <w:szCs w:val="21"/>
        </w:rPr>
        <w:t>（</w:t>
      </w:r>
      <w:r>
        <w:rPr>
          <w:rFonts w:ascii="宋体" w:hAnsi="宋体" w:eastAsia="宋体" w:cs="宋体"/>
          <w:spacing w:val="22"/>
          <w:sz w:val="21"/>
          <w:szCs w:val="21"/>
        </w:rPr>
        <w:t>二</w:t>
      </w:r>
      <w:r>
        <w:rPr>
          <w:rFonts w:hint="eastAsia" w:ascii="宋体" w:hAnsi="宋体" w:eastAsia="宋体" w:cs="宋体"/>
          <w:spacing w:val="22"/>
          <w:sz w:val="21"/>
          <w:szCs w:val="21"/>
        </w:rPr>
        <w:t>）</w:t>
      </w:r>
      <w:r>
        <w:rPr>
          <w:rFonts w:ascii="宋体" w:hAnsi="宋体" w:eastAsia="宋体" w:cs="宋体"/>
          <w:spacing w:val="11"/>
          <w:sz w:val="21"/>
          <w:szCs w:val="21"/>
        </w:rPr>
        <w:t>供应商须定时向采购方通报数据库产品开发进展情况、宣传计划和资料。</w:t>
      </w:r>
    </w:p>
    <w:p>
      <w:pPr>
        <w:spacing w:line="360" w:lineRule="auto"/>
        <w:ind w:firstLine="484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16"/>
          <w:sz w:val="21"/>
          <w:szCs w:val="21"/>
        </w:rPr>
        <w:t>（</w:t>
      </w:r>
      <w:r>
        <w:rPr>
          <w:rFonts w:ascii="宋体" w:hAnsi="宋体" w:eastAsia="宋体" w:cs="宋体"/>
          <w:spacing w:val="16"/>
          <w:sz w:val="21"/>
          <w:szCs w:val="21"/>
        </w:rPr>
        <w:t>三</w:t>
      </w:r>
      <w:r>
        <w:rPr>
          <w:rFonts w:hint="eastAsia" w:ascii="宋体" w:hAnsi="宋体" w:eastAsia="宋体" w:cs="宋体"/>
          <w:spacing w:val="16"/>
          <w:sz w:val="21"/>
          <w:szCs w:val="21"/>
        </w:rPr>
        <w:t>）</w:t>
      </w:r>
      <w:r>
        <w:rPr>
          <w:rFonts w:ascii="宋体" w:hAnsi="宋体" w:eastAsia="宋体" w:cs="宋体"/>
          <w:spacing w:val="8"/>
          <w:sz w:val="21"/>
          <w:szCs w:val="21"/>
        </w:rPr>
        <w:t>供应商应根据采购方要求每半年至少免费提供1次数据库使用和技术培训。</w:t>
      </w:r>
    </w:p>
    <w:p>
      <w:pPr>
        <w:spacing w:line="360" w:lineRule="auto"/>
        <w:ind w:firstLine="508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22"/>
          <w:sz w:val="21"/>
          <w:szCs w:val="21"/>
        </w:rPr>
        <w:t>（</w:t>
      </w:r>
      <w:r>
        <w:rPr>
          <w:rFonts w:ascii="宋体" w:hAnsi="宋体" w:eastAsia="宋体" w:cs="宋体"/>
          <w:spacing w:val="22"/>
          <w:sz w:val="21"/>
          <w:szCs w:val="21"/>
        </w:rPr>
        <w:t>四</w:t>
      </w:r>
      <w:r>
        <w:rPr>
          <w:rFonts w:hint="eastAsia" w:ascii="宋体" w:hAnsi="宋体" w:eastAsia="宋体" w:cs="宋体"/>
          <w:spacing w:val="22"/>
          <w:sz w:val="21"/>
          <w:szCs w:val="21"/>
        </w:rPr>
        <w:t>）</w:t>
      </w:r>
      <w:r>
        <w:rPr>
          <w:rFonts w:ascii="宋体" w:hAnsi="宋体" w:eastAsia="宋体" w:cs="宋体"/>
          <w:spacing w:val="11"/>
          <w:sz w:val="21"/>
          <w:szCs w:val="21"/>
        </w:rPr>
        <w:t>供应商应根据采购方要求，及时准确地提供所购数字资源利用情况统计表</w:t>
      </w:r>
    </w:p>
    <w:p>
      <w:pPr>
        <w:spacing w:line="360" w:lineRule="auto"/>
        <w:ind w:firstLine="484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16"/>
          <w:sz w:val="21"/>
          <w:szCs w:val="21"/>
        </w:rPr>
        <w:t>（</w:t>
      </w:r>
      <w:r>
        <w:rPr>
          <w:rFonts w:ascii="宋体" w:hAnsi="宋体" w:eastAsia="宋体" w:cs="宋体"/>
          <w:spacing w:val="11"/>
          <w:sz w:val="21"/>
          <w:szCs w:val="21"/>
        </w:rPr>
        <w:t>五</w:t>
      </w:r>
      <w:r>
        <w:rPr>
          <w:rFonts w:hint="eastAsia" w:ascii="宋体" w:hAnsi="宋体" w:eastAsia="宋体" w:cs="宋体"/>
          <w:spacing w:val="11"/>
          <w:sz w:val="21"/>
          <w:szCs w:val="21"/>
        </w:rPr>
        <w:t>）</w:t>
      </w:r>
      <w:r>
        <w:rPr>
          <w:rFonts w:ascii="宋体" w:hAnsi="宋体" w:eastAsia="宋体" w:cs="宋体"/>
          <w:spacing w:val="11"/>
          <w:sz w:val="21"/>
          <w:szCs w:val="21"/>
        </w:rPr>
        <w:t>在质保期内，如果产品技术升级，供应商及时通知用户，如用户有相应要求，供应商则对产品</w:t>
      </w:r>
      <w:r>
        <w:rPr>
          <w:rFonts w:ascii="宋体" w:hAnsi="宋体" w:eastAsia="宋体" w:cs="宋体"/>
          <w:spacing w:val="9"/>
          <w:sz w:val="21"/>
          <w:szCs w:val="21"/>
        </w:rPr>
        <w:t>进</w:t>
      </w:r>
      <w:r>
        <w:rPr>
          <w:rFonts w:ascii="宋体" w:hAnsi="宋体" w:eastAsia="宋体" w:cs="宋体"/>
          <w:spacing w:val="7"/>
          <w:sz w:val="21"/>
          <w:szCs w:val="21"/>
        </w:rPr>
        <w:t>行升级服务。</w:t>
      </w:r>
    </w:p>
    <w:p>
      <w:pPr>
        <w:spacing w:line="360" w:lineRule="auto"/>
        <w:ind w:firstLine="472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13"/>
          <w:sz w:val="21"/>
          <w:szCs w:val="21"/>
        </w:rPr>
        <w:t>（</w:t>
      </w:r>
      <w:r>
        <w:rPr>
          <w:rFonts w:ascii="宋体" w:hAnsi="宋体" w:eastAsia="宋体" w:cs="宋体"/>
          <w:spacing w:val="8"/>
          <w:sz w:val="21"/>
          <w:szCs w:val="21"/>
        </w:rPr>
        <w:t>六</w:t>
      </w:r>
      <w:r>
        <w:rPr>
          <w:rFonts w:hint="eastAsia" w:ascii="宋体" w:hAnsi="宋体" w:eastAsia="宋体" w:cs="宋体"/>
          <w:spacing w:val="8"/>
          <w:sz w:val="21"/>
          <w:szCs w:val="21"/>
        </w:rPr>
        <w:t>）</w:t>
      </w:r>
      <w:r>
        <w:rPr>
          <w:rFonts w:ascii="宋体" w:hAnsi="宋体" w:eastAsia="宋体" w:cs="宋体"/>
          <w:spacing w:val="8"/>
          <w:sz w:val="21"/>
          <w:szCs w:val="21"/>
        </w:rPr>
        <w:t>供应商对所提供的镜像数据，提供不少于3 年的质保期限</w:t>
      </w:r>
      <w:r>
        <w:rPr>
          <w:rFonts w:hint="eastAsia" w:ascii="宋体" w:hAnsi="宋体" w:eastAsia="宋体" w:cs="宋体"/>
          <w:spacing w:val="8"/>
          <w:sz w:val="21"/>
          <w:szCs w:val="21"/>
        </w:rPr>
        <w:t>（</w:t>
      </w:r>
      <w:r>
        <w:rPr>
          <w:rFonts w:ascii="宋体" w:hAnsi="宋体" w:eastAsia="宋体" w:cs="宋体"/>
          <w:spacing w:val="8"/>
          <w:sz w:val="21"/>
          <w:szCs w:val="21"/>
        </w:rPr>
        <w:t>免费维修时间，下同</w:t>
      </w:r>
      <w:r>
        <w:rPr>
          <w:rFonts w:hint="eastAsia" w:ascii="宋体" w:hAnsi="宋体" w:eastAsia="宋体" w:cs="宋体"/>
          <w:spacing w:val="8"/>
          <w:sz w:val="21"/>
          <w:szCs w:val="21"/>
        </w:rPr>
        <w:t>）</w:t>
      </w:r>
      <w:r>
        <w:rPr>
          <w:rFonts w:ascii="宋体" w:hAnsi="宋体" w:eastAsia="宋体" w:cs="宋体"/>
          <w:spacing w:val="8"/>
          <w:sz w:val="21"/>
          <w:szCs w:val="21"/>
        </w:rPr>
        <w:t>；对提供的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5"/>
          <w:sz w:val="21"/>
          <w:szCs w:val="21"/>
        </w:rPr>
        <w:t>在线服务，提供不少于合同条款规定的 1 年的质保期限</w:t>
      </w:r>
      <w:r>
        <w:rPr>
          <w:rFonts w:ascii="宋体" w:hAnsi="宋体" w:eastAsia="宋体" w:cs="宋体"/>
          <w:sz w:val="21"/>
          <w:szCs w:val="21"/>
        </w:rPr>
        <w:t>。</w:t>
      </w:r>
    </w:p>
    <w:p>
      <w:pPr>
        <w:spacing w:line="360" w:lineRule="auto"/>
        <w:ind w:firstLine="484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16"/>
          <w:sz w:val="21"/>
          <w:szCs w:val="21"/>
        </w:rPr>
        <w:t>（</w:t>
      </w:r>
      <w:r>
        <w:rPr>
          <w:rFonts w:ascii="宋体" w:hAnsi="宋体" w:eastAsia="宋体" w:cs="宋体"/>
          <w:spacing w:val="11"/>
          <w:sz w:val="21"/>
          <w:szCs w:val="21"/>
        </w:rPr>
        <w:t>七</w:t>
      </w:r>
      <w:r>
        <w:rPr>
          <w:rFonts w:hint="eastAsia" w:ascii="宋体" w:hAnsi="宋体" w:eastAsia="宋体" w:cs="宋体"/>
          <w:spacing w:val="11"/>
          <w:sz w:val="21"/>
          <w:szCs w:val="21"/>
        </w:rPr>
        <w:t>）</w:t>
      </w:r>
      <w:r>
        <w:rPr>
          <w:rFonts w:ascii="宋体" w:hAnsi="宋体" w:eastAsia="宋体" w:cs="宋体"/>
          <w:spacing w:val="11"/>
          <w:sz w:val="21"/>
          <w:szCs w:val="21"/>
        </w:rPr>
        <w:t>供应商应对采购方提供技术支持和数据维护，对数据库采取必要的保护措施，并及时修改其可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9"/>
          <w:sz w:val="21"/>
          <w:szCs w:val="21"/>
        </w:rPr>
        <w:t>能</w:t>
      </w:r>
      <w:r>
        <w:rPr>
          <w:rFonts w:ascii="宋体" w:hAnsi="宋体" w:eastAsia="宋体" w:cs="宋体"/>
          <w:spacing w:val="7"/>
          <w:sz w:val="21"/>
          <w:szCs w:val="21"/>
        </w:rPr>
        <w:t>存在的安全漏洞，保证用户正常使用。供应商负责数据库数据的安装、调试。当数据发生丢失或损坏时</w:t>
      </w:r>
      <w:r>
        <w:rPr>
          <w:rFonts w:hint="eastAsia" w:ascii="宋体" w:hAnsi="宋体" w:eastAsia="宋体" w:cs="宋体"/>
          <w:spacing w:val="7"/>
          <w:sz w:val="21"/>
          <w:szCs w:val="21"/>
        </w:rPr>
        <w:t>，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9"/>
          <w:sz w:val="21"/>
          <w:szCs w:val="21"/>
        </w:rPr>
        <w:t>供应商应及时免费完成数据的恢复工作</w:t>
      </w:r>
      <w:r>
        <w:rPr>
          <w:rFonts w:ascii="宋体" w:hAnsi="宋体" w:eastAsia="宋体" w:cs="宋体"/>
          <w:spacing w:val="7"/>
          <w:sz w:val="21"/>
          <w:szCs w:val="21"/>
        </w:rPr>
        <w:t>。</w:t>
      </w:r>
    </w:p>
    <w:p>
      <w:pPr>
        <w:spacing w:line="360" w:lineRule="auto"/>
        <w:ind w:firstLine="448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7"/>
          <w:sz w:val="21"/>
          <w:szCs w:val="21"/>
        </w:rPr>
        <w:t>（</w:t>
      </w:r>
      <w:r>
        <w:rPr>
          <w:rFonts w:ascii="宋体" w:hAnsi="宋体" w:eastAsia="宋体" w:cs="宋体"/>
          <w:spacing w:val="6"/>
          <w:sz w:val="21"/>
          <w:szCs w:val="21"/>
        </w:rPr>
        <w:t>八</w:t>
      </w:r>
      <w:r>
        <w:rPr>
          <w:rFonts w:hint="eastAsia" w:ascii="宋体" w:hAnsi="宋体" w:eastAsia="宋体" w:cs="宋体"/>
          <w:spacing w:val="6"/>
          <w:sz w:val="21"/>
          <w:szCs w:val="21"/>
        </w:rPr>
        <w:t>）</w:t>
      </w:r>
      <w:r>
        <w:rPr>
          <w:rFonts w:ascii="宋体" w:hAnsi="宋体" w:eastAsia="宋体" w:cs="宋体"/>
          <w:spacing w:val="6"/>
          <w:sz w:val="21"/>
          <w:szCs w:val="21"/>
        </w:rPr>
        <w:t xml:space="preserve">供应商负责向采购方提供网络、电话及 </w:t>
      </w:r>
      <w:r>
        <w:rPr>
          <w:rFonts w:ascii="宋体" w:hAnsi="宋体" w:eastAsia="宋体" w:cs="宋体"/>
          <w:sz w:val="21"/>
          <w:szCs w:val="21"/>
        </w:rPr>
        <w:t>EMAIL</w:t>
      </w:r>
      <w:r>
        <w:rPr>
          <w:rFonts w:ascii="宋体" w:hAnsi="宋体" w:eastAsia="宋体" w:cs="宋体"/>
          <w:spacing w:val="6"/>
          <w:sz w:val="21"/>
          <w:szCs w:val="21"/>
        </w:rPr>
        <w:t xml:space="preserve"> 支持服务，以解决数据库使用过程中出现的问题。</w:t>
      </w:r>
      <w:r>
        <w:rPr>
          <w:rFonts w:ascii="宋体" w:hAnsi="宋体" w:eastAsia="宋体" w:cs="宋体"/>
          <w:spacing w:val="12"/>
          <w:sz w:val="21"/>
          <w:szCs w:val="21"/>
        </w:rPr>
        <w:t>对一般的技</w:t>
      </w:r>
      <w:r>
        <w:rPr>
          <w:rFonts w:ascii="宋体" w:hAnsi="宋体" w:eastAsia="宋体" w:cs="宋体"/>
          <w:spacing w:val="7"/>
          <w:sz w:val="21"/>
          <w:szCs w:val="21"/>
        </w:rPr>
        <w:t>术</w:t>
      </w:r>
      <w:r>
        <w:rPr>
          <w:rFonts w:ascii="宋体" w:hAnsi="宋体" w:eastAsia="宋体" w:cs="宋体"/>
          <w:spacing w:val="6"/>
          <w:sz w:val="21"/>
          <w:szCs w:val="21"/>
        </w:rPr>
        <w:t>支持响应时间不超过6小时，若出现重大问题，供应商技术支持工程师必须在 48 小时内到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9"/>
          <w:sz w:val="21"/>
          <w:szCs w:val="21"/>
        </w:rPr>
        <w:t>达</w:t>
      </w:r>
      <w:r>
        <w:rPr>
          <w:rFonts w:ascii="宋体" w:hAnsi="宋体" w:eastAsia="宋体" w:cs="宋体"/>
          <w:spacing w:val="8"/>
          <w:sz w:val="21"/>
          <w:szCs w:val="21"/>
        </w:rPr>
        <w:t>现场进行技术维护。</w:t>
      </w:r>
    </w:p>
    <w:p>
      <w:pPr>
        <w:spacing w:line="360" w:lineRule="auto"/>
        <w:jc w:val="both"/>
        <w:rPr>
          <w:rFonts w:ascii="宋体" w:hAnsi="宋体" w:eastAsia="宋体" w:cs="宋体"/>
          <w:b/>
          <w:sz w:val="21"/>
          <w:szCs w:val="21"/>
        </w:rPr>
      </w:pPr>
      <w:r>
        <w:rPr>
          <w:rFonts w:ascii="宋体" w:hAnsi="宋体" w:eastAsia="宋体" w:cs="宋体"/>
          <w:b/>
          <w:spacing w:val="10"/>
          <w:sz w:val="21"/>
          <w:szCs w:val="21"/>
        </w:rPr>
        <w:t>七</w:t>
      </w:r>
      <w:r>
        <w:rPr>
          <w:rFonts w:ascii="宋体" w:hAnsi="宋体" w:eastAsia="宋体" w:cs="宋体"/>
          <w:b/>
          <w:spacing w:val="8"/>
          <w:sz w:val="21"/>
          <w:szCs w:val="21"/>
        </w:rPr>
        <w:t>、其他要求</w:t>
      </w:r>
    </w:p>
    <w:p>
      <w:pPr>
        <w:spacing w:line="360" w:lineRule="auto"/>
        <w:ind w:firstLine="492" w:firstLineChars="200"/>
        <w:jc w:val="both"/>
        <w:rPr>
          <w:rFonts w:eastAsiaTheme="minorEastAsia"/>
          <w:sz w:val="21"/>
          <w:szCs w:val="21"/>
        </w:rPr>
      </w:pPr>
      <w:r>
        <w:rPr>
          <w:rFonts w:ascii="宋体" w:hAnsi="宋体" w:eastAsia="宋体" w:cs="宋体"/>
          <w:spacing w:val="18"/>
          <w:sz w:val="21"/>
          <w:szCs w:val="21"/>
        </w:rPr>
        <w:t>供</w:t>
      </w:r>
      <w:r>
        <w:rPr>
          <w:rFonts w:ascii="宋体" w:hAnsi="宋体" w:eastAsia="宋体" w:cs="宋体"/>
          <w:spacing w:val="14"/>
          <w:sz w:val="21"/>
          <w:szCs w:val="21"/>
        </w:rPr>
        <w:t>应</w:t>
      </w:r>
      <w:r>
        <w:rPr>
          <w:rFonts w:ascii="宋体" w:hAnsi="宋体" w:eastAsia="宋体" w:cs="宋体"/>
          <w:spacing w:val="9"/>
          <w:sz w:val="21"/>
          <w:szCs w:val="21"/>
        </w:rPr>
        <w:t>商提供的所有镜像数字资源应符合国家政策法规规定，不得具有意识形态安全问题；或一旦发现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4"/>
          <w:sz w:val="21"/>
          <w:szCs w:val="21"/>
        </w:rPr>
        <w:t>存</w:t>
      </w:r>
      <w:r>
        <w:rPr>
          <w:rFonts w:ascii="宋体" w:hAnsi="宋体" w:eastAsia="宋体" w:cs="宋体"/>
          <w:spacing w:val="9"/>
          <w:sz w:val="21"/>
          <w:szCs w:val="21"/>
        </w:rPr>
        <w:t>在意识形态安全风险，供应商应在第一时间予以处理</w:t>
      </w:r>
      <w:r>
        <w:rPr>
          <w:rFonts w:hint="eastAsia" w:ascii="宋体" w:hAnsi="宋体" w:eastAsia="宋体" w:cs="宋体"/>
          <w:spacing w:val="9"/>
          <w:sz w:val="21"/>
          <w:szCs w:val="21"/>
        </w:rPr>
        <w:t>。</w:t>
      </w:r>
    </w:p>
    <w:p>
      <w:pPr>
        <w:jc w:val="center"/>
      </w:pPr>
      <w:r>
        <w:br w:type="textWrapping"/>
      </w:r>
    </w:p>
    <w:p>
      <w:r>
        <w:br w:type="page"/>
      </w:r>
    </w:p>
    <w:p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KPS外文警察资源检索系统技术参数</w:t>
      </w:r>
    </w:p>
    <w:p>
      <w:pPr>
        <w:spacing w:line="360" w:lineRule="auto"/>
        <w:rPr>
          <w:rFonts w:ascii="Calibri" w:hAnsi="Calibri" w:eastAsia="宋体" w:cs="Times New Roman"/>
        </w:rPr>
      </w:pPr>
    </w:p>
    <w:p>
      <w:pPr>
        <w:spacing w:line="520" w:lineRule="exact"/>
        <w:outlineLvl w:val="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一、采购资源范围</w:t>
      </w:r>
    </w:p>
    <w:p>
      <w:pPr>
        <w:spacing w:line="520" w:lineRule="exact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数据库应囊括公安学和公安技术两大一级学科，数据内容应涉及以下二级学科：消防工程、边防指挥专业、消防指挥专业、核生化消防专业、火灾勘察专业、涉外警务专业、边防管理、治安学、警卫学、公安情报学、犯罪学、公安管理学、国内安全保卫专业、警务指挥与战术、侦查学、禁毒学、警犬技术、经济犯罪侦查专业、刑事科学技术、安全防范工程、交通管理工程、公安视听技术、网络安全与执法专业、抢险救援指挥与技术。</w:t>
      </w:r>
    </w:p>
    <w:p>
      <w:pPr>
        <w:spacing w:line="520" w:lineRule="exact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二、数据量以及更新要求</w:t>
      </w:r>
    </w:p>
    <w:p>
      <w:pPr>
        <w:spacing w:line="520" w:lineRule="exact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一）数据库应包含：外文期刊、外文图书、外文学位论文、外文会议论文、外文教学课程、外文专题资源、外文标准、外文报告等8个外文警察类资源模块。外文期刊不少于1200种，450万篇，能检索到期刊自创刊号（年）起以来所有该期刊的内容期刊种数不低于外文期刊总量的75%；外文图书不少于13万册，220万章节；外文学位论文不少于64万篇；外文会议不少于4100届次；会议论文不少于33万篇；外文教学课程不少于1600个；外文专题资源不少于24万个；外文标准3000不少于篇；外文报告不少于7万篇。</w:t>
      </w:r>
    </w:p>
    <w:p>
      <w:pPr>
        <w:spacing w:line="520" w:lineRule="exact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（二）数据库每季度更新一次，每年更新不少于4次。</w:t>
      </w:r>
    </w:p>
    <w:p>
      <w:pPr>
        <w:spacing w:line="520" w:lineRule="exact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三、功能要求</w:t>
      </w:r>
    </w:p>
    <w:p>
      <w:pPr>
        <w:spacing w:line="520" w:lineRule="exact"/>
        <w:ind w:firstLine="413" w:firstLineChars="196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（一）检索方式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可以提供直接检索或者二次检索，检索入口包括：作者、刊名、关键词、提名、ISSN号、出版年、任意字段检索，同时提供中文提名、中文刊名、中文关键词的检索，并提供高级检索功能、快速检索和期刊导航检索。</w:t>
      </w:r>
    </w:p>
    <w:p>
      <w:pPr>
        <w:spacing w:line="520" w:lineRule="exact"/>
        <w:ind w:firstLine="413" w:firstLineChars="196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（二）导航方式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：对检索结果能实现教育部一级学科导航、中图法分类导航、年限分布导航和期刊重要性分类导航等。</w:t>
      </w:r>
    </w:p>
    <w:p>
      <w:pPr>
        <w:spacing w:line="520" w:lineRule="exact"/>
        <w:ind w:firstLine="413" w:firstLineChars="196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（三）浏览方式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：文献浏览有题名模式、详情模式等，同时能够实现对文摘信息的辅助翻译。</w:t>
      </w:r>
    </w:p>
    <w:p>
      <w:pPr>
        <w:spacing w:line="520" w:lineRule="exact"/>
        <w:ind w:firstLine="413" w:firstLineChars="196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（四）热词搜索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：实时热点检索、搜索词云等</w:t>
      </w:r>
    </w:p>
    <w:p>
      <w:pPr>
        <w:spacing w:line="520" w:lineRule="exact"/>
        <w:ind w:firstLine="413" w:firstLineChars="196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（五）原文获取：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外文文献的题录和全文一一对应，题录和全文均可实现即时获取。</w:t>
      </w:r>
    </w:p>
    <w:p>
      <w:pPr>
        <w:spacing w:line="520" w:lineRule="exact"/>
        <w:ind w:firstLine="413" w:firstLineChars="196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（六）后台管理功能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:检索系统包括完善的后台管理功能，有统一认证管理工具和统计工具，统计工具能实现按刊、按时间、按IP地址或按账号进行访问情况统计，并可方便的导出统计结果。</w:t>
      </w:r>
    </w:p>
    <w:p>
      <w:pPr>
        <w:spacing w:line="520" w:lineRule="exact"/>
        <w:ind w:firstLine="413" w:firstLineChars="196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（七）可整合其他资源: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可提供开放接口，便于进行不同类型资源的整合。</w:t>
      </w:r>
    </w:p>
    <w:p>
      <w:pPr>
        <w:spacing w:line="520" w:lineRule="exact"/>
        <w:ind w:firstLine="422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（八）更新方式及周期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：提供网络更新和光盘更新两种更新途径，更新频率不少于三个月一次。</w:t>
      </w:r>
    </w:p>
    <w:p>
      <w:pPr>
        <w:spacing w:line="520" w:lineRule="exact"/>
        <w:ind w:firstLine="413" w:firstLineChars="196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（九）个性化服务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：可根据要求及提供的图片对检索系统界面进行个性化制作。</w:t>
      </w:r>
    </w:p>
    <w:p>
      <w:pPr>
        <w:spacing w:line="520" w:lineRule="exact"/>
        <w:ind w:firstLine="411" w:firstLineChars="196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（十）实现对用户的访问和使用情况进行详细的记录，并进行统计分析（可按时间、用户、IP地址等方式进行统计分析），并根据采购方要求及时反馈统计分析结果。</w:t>
      </w:r>
    </w:p>
    <w:p>
      <w:pPr>
        <w:pStyle w:val="7"/>
        <w:spacing w:line="520" w:lineRule="exact"/>
        <w:ind w:firstLine="0"/>
        <w:jc w:val="left"/>
        <w:outlineLvl w:val="0"/>
        <w:rPr>
          <w:rFonts w:hint="eastAsia" w:asciiTheme="minorEastAsia" w:hAnsiTheme="minorEastAsia" w:eastAsiaTheme="minorEastAsia" w:cstheme="minorEastAsia"/>
          <w:b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1"/>
          <w:szCs w:val="21"/>
        </w:rPr>
        <w:t>四、服务方式</w:t>
      </w:r>
    </w:p>
    <w:p>
      <w:pPr>
        <w:pStyle w:val="7"/>
        <w:spacing w:line="520" w:lineRule="exact"/>
        <w:ind w:firstLine="42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（一）数据库提供远程包库访问；</w:t>
      </w:r>
    </w:p>
    <w:p>
      <w:pPr>
        <w:spacing w:line="520" w:lineRule="exact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（二）图书馆往年已选购的200种外文期刊2023年更新数据的镜像服务；</w:t>
      </w:r>
    </w:p>
    <w:p>
      <w:pPr>
        <w:spacing w:line="520" w:lineRule="exact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（三）文献传递服务。根据图书馆要求建立QQ群或微信群，为读者提供文献传递服务；</w:t>
      </w:r>
    </w:p>
    <w:p>
      <w:pPr>
        <w:pStyle w:val="7"/>
        <w:spacing w:line="360" w:lineRule="auto"/>
        <w:ind w:firstLine="42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（四）总库并发数：不限制并发数。</w:t>
      </w:r>
    </w:p>
    <w:p>
      <w:pPr>
        <w:pStyle w:val="7"/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（五）漫游帐号：根据采购方要求，提供一个不限制并发数的校外访问账号，以满足采购方学院IP地址范围外教学、科研工作时的访问使用需求。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五、专利权要求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一）要求供应商必须保障采购方使用其产品、服务及其任何部分不受到第三方关于侵犯专利权、商标权或工业设计权等知识产权的指控。任何第三方如果提出指控，供应商必须与第三方交涉并承担由此引发的一切法律责任和费用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（二）供应商须提供中国版权局出具的相关著作权证明。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六、售后服务要求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（一）供应商应保障采购方所购数据库产品在使用期内的完整性。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（二）供应商须定时向采购方通报数据库产品开发进展情况、宣传计划和资料。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（三）供应商应根据采购方要求，每半年免费提供1次以上的数据库使用和技术培训。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（四）供应商应根据采购方要求，及时准确地提供所购数字资源利用情况统计表。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（五）在质保期内，如果产品技术升级，供应商及时通知用户，如用户有相应要求，供应商则对产品进行升级服务。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（六）供应商对所提供的镜像数据，提供不少于3年的质保期限（免费维修时间，下同）；对提供的在线服务，提供不少于合同条款规定的1年的质保期限。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（七）供应商应对采购方提供技术支持和数据维护，对数据库采取必要的保护措施，并及时修改其可能存在的安全漏洞，保证用户正常使用。供应商负责数据库数据的安装、调试。当数据发生丢失或损坏时, 供应商应及时免费完成数据的恢复工作。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八）供应商负责向采购方提供网络、电话及EMAIL支持服务，以解决数据库使用过程中出现的问题。对一般的技术支持响应时间不超过6小时，若出现重大问题，供应商技术支持工程师必须在48小时内到达现场进行技术维护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七、其他要求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供应商提供的所有数字资源应符合国家政策法规规定，不得具有意识形态安全问题；或一旦发现存在意识形态安全风险，供应商应在第一时间予以处理。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0" w:firstLineChars="0"/>
        <w:jc w:val="center"/>
      </w:pPr>
      <w:r>
        <w:br w:type="textWrapping"/>
      </w:r>
    </w:p>
    <w:p>
      <w:r>
        <w:br w:type="page"/>
      </w:r>
    </w:p>
    <w:p>
      <w:pPr>
        <w:ind w:firstLine="0" w:firstLineChars="0"/>
        <w:jc w:val="center"/>
        <w:rPr>
          <w:b/>
          <w:bCs/>
          <w:sz w:val="36"/>
          <w:szCs w:val="28"/>
        </w:rPr>
      </w:pPr>
      <w:r>
        <w:rPr>
          <w:b/>
          <w:bCs/>
          <w:sz w:val="36"/>
          <w:szCs w:val="28"/>
        </w:rPr>
        <w:t>W</w:t>
      </w:r>
      <w:r>
        <w:rPr>
          <w:rFonts w:hint="eastAsia"/>
          <w:b/>
          <w:bCs/>
          <w:sz w:val="36"/>
          <w:szCs w:val="28"/>
        </w:rPr>
        <w:t>orldlib国外文献整合平台技术要求</w:t>
      </w:r>
    </w:p>
    <w:p>
      <w:pPr>
        <w:ind w:firstLine="1261" w:firstLineChars="600"/>
        <w:rPr>
          <w:b/>
          <w:bCs/>
          <w:szCs w:val="2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0" w:firstLineChars="0"/>
        <w:textAlignment w:val="baseline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一、采购资源范围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数据库应囊括worldlib平台文献范围涵盖的全部学科，包含来自国外各大出版商的全学科开放数据文献。包含平台的8种不同类型的文献，其中期刊3100万篇（期刊品种不少于30000种）、国外博硕士论文400万篇、科技报告130万篇、艺术图片80万幅、外文电子图书及章节120万、专利100万篇、会议论文120万篇、预印本130万篇，共计4100多万国外优秀文献。可以按照检索点导航、学科导航、日期导航、语种导航等多种途径导航，8种文献可以实现一站式跨库检索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0" w:firstLineChars="0"/>
        <w:textAlignment w:val="baseline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二、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数据量及更新要求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bCs/>
          <w:sz w:val="21"/>
          <w:szCs w:val="21"/>
        </w:rPr>
      </w:pPr>
      <w:r>
        <w:rPr>
          <w:rFonts w:hint="eastAsia" w:ascii="宋体" w:hAnsi="宋体" w:eastAsia="宋体" w:cs="宋体"/>
          <w:bCs/>
          <w:sz w:val="21"/>
          <w:szCs w:val="21"/>
        </w:rPr>
        <w:t>worldlib国外文献整合平台文献量不低于4100万，每年文献更新量不低于100万篇。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0" w:firstLineChars="0"/>
        <w:textAlignment w:val="baseline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三、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查询检索功能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（一）支持跨库检索且平均检索速度必须&lt;0.1S，具备不低于8000万的系统词表做支撑，且词表不得重复。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二）提供方便快捷的安装维护，内置Sqlserver、文本等可视化导入工具、自带Web服务器功能，包括用户认证管理、数据存储服务、搜索引擎服务、WEB发布服务、访问监控服务等功能，并且可以镜像派发生成专题数据库并且不需要安装任何数据库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（三）平台易用性，可以按照检索点导航、学科导航、日期导航、数据源导航、语种导航等多种途径导航。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（四）提供域名绑定功能，具备统计访问数据文件大小流量功能，具备用户检索记录还原功能,具备B类IP访问地址统计功能，对用户访问实时监控并追踪用户IP和访问资源url。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0" w:firstLineChars="0"/>
        <w:textAlignment w:val="baseline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四、服务方式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bCs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（一）</w:t>
      </w:r>
      <w:r>
        <w:rPr>
          <w:rFonts w:hint="eastAsia" w:ascii="宋体" w:hAnsi="宋体" w:eastAsia="宋体" w:cs="宋体"/>
          <w:bCs/>
          <w:sz w:val="21"/>
          <w:szCs w:val="21"/>
        </w:rPr>
        <w:t>采用远程服务，平台上所有文献均可通过访问其所在第三方网站下载全文数据。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bCs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（二）</w:t>
      </w:r>
      <w:r>
        <w:rPr>
          <w:rFonts w:hint="eastAsia" w:ascii="宋体" w:hAnsi="宋体" w:eastAsia="宋体" w:cs="宋体"/>
          <w:bCs/>
          <w:sz w:val="21"/>
          <w:szCs w:val="21"/>
        </w:rPr>
        <w:t>支持手机二维码下载阅读。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（三）文献传递服务。为读者提供文献传递服务；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bCs/>
          <w:sz w:val="21"/>
          <w:szCs w:val="21"/>
        </w:rPr>
      </w:pPr>
      <w:bookmarkStart w:id="0" w:name="_Hlk104472824"/>
      <w:r>
        <w:rPr>
          <w:rFonts w:hint="eastAsia" w:ascii="宋体" w:hAnsi="宋体" w:eastAsia="宋体" w:cs="宋体"/>
          <w:sz w:val="21"/>
          <w:szCs w:val="21"/>
        </w:rPr>
        <w:t>（四）</w:t>
      </w:r>
      <w:r>
        <w:rPr>
          <w:rFonts w:hint="eastAsia" w:ascii="宋体" w:hAnsi="宋体" w:eastAsia="宋体" w:cs="宋体"/>
          <w:bCs/>
          <w:sz w:val="21"/>
          <w:szCs w:val="21"/>
        </w:rPr>
        <w:t>并发数：同时在线100人。</w:t>
      </w:r>
    </w:p>
    <w:bookmarkEnd w:id="0"/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0" w:firstLineChars="0"/>
        <w:textAlignment w:val="baseline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五、专利要求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一）要求供应商必须保障采购方使用其产品、服务及其任何部分不受到第三方关于侵犯专利权、商标权或工业设计权等知识产权的指控。任何第三方如果提出指控，供应商必须与第三方交涉并承担由此引发的一切法律责任和费用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（二）供应商须提供中国版权局出具的相关著作权证明。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0" w:firstLineChars="0"/>
        <w:textAlignment w:val="baseline"/>
        <w:rPr>
          <w:rFonts w:hint="eastAsia" w:ascii="宋体" w:hAnsi="宋体" w:eastAsia="宋体" w:cs="宋体"/>
          <w:b/>
          <w:bCs/>
          <w:sz w:val="21"/>
          <w:szCs w:val="21"/>
          <w:lang w:val="zh-TW"/>
        </w:rPr>
      </w:pPr>
      <w:r>
        <w:rPr>
          <w:rFonts w:hint="eastAsia" w:ascii="宋体" w:hAnsi="宋体" w:eastAsia="宋体" w:cs="宋体"/>
          <w:b/>
          <w:sz w:val="21"/>
          <w:szCs w:val="21"/>
        </w:rPr>
        <w:t>六、</w:t>
      </w:r>
      <w:r>
        <w:rPr>
          <w:rFonts w:hint="eastAsia" w:ascii="宋体" w:hAnsi="宋体" w:eastAsia="宋体" w:cs="宋体"/>
          <w:b/>
          <w:bCs/>
          <w:sz w:val="21"/>
          <w:szCs w:val="21"/>
          <w:lang w:val="zh-TW" w:eastAsia="zh-TW"/>
        </w:rPr>
        <w:t>售后服务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（一）供应商应保障采购方所购数据库产品在使用期内的完整性。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（二）供应商须定时向采购方通报数据库产品开发进展情况、宣传计划和资料。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（三）供应商应根据采购方要求每半年至少免费提供1次数据库使用和技术培训。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（四）供应商应根据采购方要求，及时准确地提供所购数字资源利用情况统计表。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（五）在质保期内，如果产品技术升级，供应商及时通知用户，如用户有相应要求，供应商则对产品进行升级服务。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（六）对提供的在线服务，提供不少于合同条款规定的1年的质保期限。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（七）供应商应对采购方提供技术支持和数据维护，对数据库采取必要的保护措施，并及时修改其可能存在的安全漏洞，保证用户正常使用。供应商负责数据库数据的安装、调试。当数据发生丢失或损坏时, 供应商应及时免费完成数据的恢复工作。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八）供应商负责向采购方提供网络、电话及EMAIL支持服务，以解决数据库使用过程中出现的问题。对一般的技术支持响应时间不超过6小时，若出现重大问题，供应商技术支持工程师必须在48小时内到达现场进行技术维护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0" w:firstLineChars="0"/>
        <w:textAlignment w:val="baseline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七、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其他要求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bCs/>
          <w:sz w:val="21"/>
          <w:szCs w:val="21"/>
        </w:rPr>
      </w:pPr>
      <w:r>
        <w:rPr>
          <w:rFonts w:hint="eastAsia" w:ascii="宋体" w:hAnsi="宋体" w:eastAsia="宋体" w:cs="宋体"/>
          <w:bCs/>
          <w:sz w:val="21"/>
          <w:szCs w:val="21"/>
        </w:rPr>
        <w:t>供应商提供的所有数字资源应符合国家政策法规规定，不得具有意识形态安全问题；或一旦发现存在意识形态安全风险，供应商应在第一时间予以处理。</w:t>
      </w:r>
    </w:p>
    <w:p>
      <w:pPr>
        <w:rPr>
          <w:rFonts w:hint="eastAsia" w:asciiTheme="majorEastAsia" w:hAnsiTheme="majorEastAsia" w:eastAsiaTheme="majorEastAsia"/>
          <w:b/>
          <w:sz w:val="36"/>
          <w:szCs w:val="44"/>
        </w:rPr>
      </w:pPr>
      <w:r>
        <w:rPr>
          <w:rFonts w:hint="eastAsia" w:asciiTheme="majorEastAsia" w:hAnsiTheme="majorEastAsia" w:eastAsiaTheme="majorEastAsia"/>
          <w:b/>
          <w:sz w:val="36"/>
          <w:szCs w:val="44"/>
        </w:rPr>
        <w:br w:type="page"/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44"/>
        </w:rPr>
      </w:pPr>
      <w:r>
        <w:rPr>
          <w:rFonts w:hint="eastAsia" w:asciiTheme="majorEastAsia" w:hAnsiTheme="majorEastAsia" w:eastAsiaTheme="majorEastAsia"/>
          <w:b/>
          <w:sz w:val="36"/>
          <w:szCs w:val="44"/>
        </w:rPr>
        <w:t>万方数据技术参数</w:t>
      </w:r>
    </w:p>
    <w:p>
      <w:pPr>
        <w:spacing w:line="360" w:lineRule="auto"/>
        <w:rPr>
          <w:rFonts w:ascii="Calibri" w:hAnsi="Calibri" w:eastAsia="宋体" w:cs="Times New Roman"/>
        </w:rPr>
      </w:pP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outlineLvl w:val="0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一、采购资源范围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万方学术期刊数据库：专业涵盖自然科学、工程技术、医药卫生、农业科学、哲学政法、社会科学、科教文艺等各个学科；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万方学位论文数据库：涵盖基础科学、理学、工业技术、人文科学、社会科学、医药卫生、农业科学、交通运输、航空航天和环境科学等各学科领域；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二、数据量以及更新要求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一）数据库应包含：期刊、学位论文。期刊数据库不少于6500万篇，期刊覆盖不少于8365种，包含北京大学、中国科学技术信息研究所、中国科学院文献情报中心、南京大学、中国社会科学院历年收录的核心期刊3200余种；年增300万篇及以上。学位论文不少于500万篇，年增至少20万篇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（二）期刊数据库周更新至少2次。学位论文数据库月更新不少于1次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三、功能要求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13" w:firstLineChars="196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（一）检索方式</w:t>
      </w:r>
      <w:r>
        <w:rPr>
          <w:rFonts w:hint="eastAsia" w:ascii="宋体" w:hAnsi="宋体" w:eastAsia="宋体" w:cs="宋体"/>
          <w:sz w:val="21"/>
          <w:szCs w:val="21"/>
        </w:rPr>
        <w:t>：支持异构海量资源检索（期刊论文、学位论文、会议论文、专利、标准、法律法规、科技报告、地方志、成果等）统一平台的跨库检索；支持一框式检索、高级检索、专业检索，支持逻辑与或非的布尔逻辑表达式；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支持对学者、刊物等的智能检索；支持中外文混合检索；支持词表智能扩展关联检索，包括同义词、上位术语、下位术语、相关概念的检索；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13" w:firstLineChars="196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</w:rPr>
        <w:t>二）提供高性能、高可用、高可靠的检索服务，并通过提供rpc和http api服务接口，灵活应对不同的业务使用场景；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11" w:firstLineChars="196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（三）支持集群式关系型数据库，保证业务数据7*24小时高可用性；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11" w:firstLineChars="196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（四）通过图形数据库支持文献引证关系、实体关联关系等的可视化展示；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11" w:firstLineChars="196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（五）采用分布式文件存储系统，支持海量（百亿条以上）系统及用户行为日志存储，支持亿万篇文献全文存储；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11" w:firstLineChars="196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（六）支持基于分布式计算框架下的文献计量统计分析，提供海量数据下的实时或离线的统计分析；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11" w:firstLineChars="196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（七）融合大数据生态，提供可视化定制界面完成数据创建导入工作和ETL工具，支撑亿万级数据记录吞吐；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11" w:firstLineChars="196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（八）结合OAuth2.0协议可实现用户身份授权；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11" w:firstLineChars="196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（九）自主研发的api开放网关技术提供统一的开放接口方案 ，便于与第三方系统对接并提供数据服务、应用服务；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11" w:firstLineChars="196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（十）支持NativeAPP、WebAPP、HybridApp三种APP开发模式，灵活应对各类移动端开发需求。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11" w:firstLineChars="196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（十一）采用分布式服务框架，提供高性能、可扩展的SOA应用服务；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11" w:firstLineChars="196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十二）采用分布式全文索引集群，支持集中配置、负载均衡、自动容错、资源实时扩展、实时更新索引，支持对亿条以上元数据毫秒级检索；另外，支持按需分配资源并提供服务隔离，自动实施负载平衡调度防止性能雪崩；</w:t>
      </w:r>
    </w:p>
    <w:p>
      <w:pPr>
        <w:pStyle w:val="7"/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0"/>
        <w:jc w:val="left"/>
        <w:outlineLvl w:val="0"/>
        <w:rPr>
          <w:rFonts w:hint="eastAsia" w:ascii="宋体" w:hAnsi="宋体" w:eastAsia="宋体" w:cs="宋体"/>
          <w:b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</w:rPr>
        <w:t>四、服务方式</w:t>
      </w:r>
    </w:p>
    <w:p>
      <w:pPr>
        <w:pStyle w:val="7"/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（一）数据库提供远程包库访问；</w:t>
      </w:r>
    </w:p>
    <w:p>
      <w:pPr>
        <w:pStyle w:val="7"/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（二）总库并发数：不限制并发数。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五、专利权要求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要求供应商必须保障采购方使用其产品、服务及其任何部分不受到第三方关于侵犯专利权、商标权或工业设计权等知识产权的指控。任何第三方如果提出指控，供应商必须与第三方交涉并承担由此引发的一切法律责任和费用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六、售后服务要求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（一）供应商应保障采购方所购数据库产品在使用期内的完整性。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（二）供应商须定时向采购方通报数据库产品开发进展情况、宣传计划和资料。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（三）供应商应根据采购方要求，每半年免费提供1次以上的数据库使用和技术培训。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（四）供应商应根据采购方要求，及时准确地提供所购数字资源利用情况统计表。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（五）在质保期内，如果产品技术升级，供应商及时通知用户，如用户有相应要求，供应商则对产品进行升级服务。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（六）供应商对所提供的镜像数据，提供不少于3年的质保期限（免费维修时间，下同）；对提供的在线服务，提供不少于合同条款规定的1年的质保期限。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（七）供应商应对采购方提供技术支持和数据维护，对数据库采取必要的保护措施，并及时修改其可能存在的安全漏洞，保证用户正常使用。供应商负责数据库数据的安装、调试。当数据发生丢失或损坏时, 供应商应及时免费完成数据的恢复工作。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八）供应商负责向采购方提供网络、电话及EMAIL支持服务，以解决数据库使用过程中出现的问题。对一般的技术支持响应时间不超过6小时，若出现重大问题，供应商技术支持工程师必须在48小时内到达现场进行技术维护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七、其他要求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供应商提供的所有数字资源应符合国家政策法规规定，不得具有意识形态安全问题；或一旦发现存在意识形态安全风险，供应商应在第一时间予以处理。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宋体" w:hAnsi="宋体" w:eastAsia="宋体" w:cs="宋体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细黑一简体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731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2</w:t>
    </w:r>
    <w:r>
      <w:rPr>
        <w:rFonts w:ascii="Calibri" w:hAnsi="Calibri" w:eastAsia="Calibri" w:cs="Calibri"/>
        <w:sz w:val="17"/>
        <w:szCs w:val="17"/>
      </w:rPr>
      <w:t>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yOTE5NzhmM2I0NzZjN2UyZGM3N2NiMjYyNWVlOTIifQ=="/>
  </w:docVars>
  <w:rsids>
    <w:rsidRoot w:val="00000000"/>
    <w:rsid w:val="01396FC5"/>
    <w:rsid w:val="02101454"/>
    <w:rsid w:val="113E4007"/>
    <w:rsid w:val="1A531537"/>
    <w:rsid w:val="27610B51"/>
    <w:rsid w:val="41380279"/>
    <w:rsid w:val="4BD66284"/>
    <w:rsid w:val="4DEB6377"/>
    <w:rsid w:val="4F6939F7"/>
    <w:rsid w:val="5D027239"/>
    <w:rsid w:val="6CC30EEC"/>
    <w:rsid w:val="6D142D9C"/>
    <w:rsid w:val="7696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 二"/>
    <w:qFormat/>
    <w:uiPriority w:val="0"/>
    <w:pPr>
      <w:widowControl w:val="0"/>
      <w:autoSpaceDE w:val="0"/>
      <w:autoSpaceDN w:val="0"/>
      <w:adjustRightInd w:val="0"/>
      <w:spacing w:line="312" w:lineRule="atLeast"/>
      <w:ind w:firstLine="408"/>
      <w:jc w:val="both"/>
    </w:pPr>
    <w:rPr>
      <w:rFonts w:ascii="方正细黑一简体" w:hAnsi="Times New Roman" w:eastAsia="方正细黑一简体" w:cs="方正细黑一简体"/>
      <w:color w:val="000000"/>
      <w:sz w:val="19"/>
      <w:szCs w:val="19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2023-07-27T03:50:00Z</dcterms:created>
  <dc:creator>He</dc:creator>
  <cp:lastModifiedBy>你是我的将来</cp:lastModifiedBy>
  <dcterms:modified xsi:type="dcterms:W3CDTF">2023-08-25T07:54:12Z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782CEA411BD6480C863EE6AFAD4221C8_13</vt:lpwstr>
  </property>
</Properties>
</file>